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ACPR/294/2014 vom 12. Juni 2014</w:t>
      </w:r>
    </w:p>
    <w:p>
      <w:r>
        <w:t>GE Cour de justice, 2014-06-12, FR</w:t>
      </w:r>
    </w:p>
    <w:p>
      <w:r>
        <w:rPr>
          <w:b/>
        </w:rPr>
        <w:t xml:space="preserve">Quelle: </w:t>
      </w:r>
      <w:r>
        <w:t>https://mcp.opencaselaw.ch/entscheid/ge_gerichte_ACPR_294_2014</w:t>
      </w:r>
    </w:p>
    <w:p>
      <w:r>
        <w:t>FR: GE_GERICHTE ACPR/294/2014 du 12 juin 2014</w:t>
      </w:r>
    </w:p>
    <w:p>
      <w:r>
        <w:t>IT: GE_GERICHTE ACPR/294/2014 del 12 giugno 2014</w:t>
      </w:r>
    </w:p>
    <w:p>
      <w:pPr>
        <w:pStyle w:val="Heading2"/>
      </w:pPr>
      <w:r>
        <w:t>Erwägungen</w:t>
      </w:r>
    </w:p>
    <w:p>
      <w:r>
        <w:rPr>
          <w:b/>
        </w:rPr>
        <w:t>E. 1</w:t>
      </w:r>
    </w:p>
    <w:p>
      <w:r>
        <w:t>Le recours est recevable pour avoir été déposé selon la forme et dans le délai prescrits (art. 393 et 396 CPP), concerner une ordonnance de non-entrée en matière sujette à recours auprès de la Chambre de céans (art. 310 al. 1 let. a et 393 al. 1 let. a CPP) et émaner de la partie plaignante, qui a qualité pour agir, ayant un intérêt juridiquement protégé à l'annulation de la décision entreprise (art. 104 al. 1 let. b, 118 et 382 CPP).</w:t>
      </w:r>
    </w:p>
    <w:p>
      <w:r>
        <w:t>- 5/9 P/______</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t>Une non-entrée en matière s'impose lorsque le litige est de nature purement civile (ATF 137 IV 285 consid. 2.3 p. 287).</w:t>
      </w:r>
    </w:p>
    <w:p>
      <w:r>
        <w:rPr>
          <w:b/>
        </w:rPr>
        <w:t>E. 3.1</w:t>
      </w:r>
    </w:p>
    <w:p>
      <w:r>
        <w:t>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w:t>
      </w:r>
    </w:p>
    <w:p>
      <w:r>
        <w:t>Pour qu’il y ait contrainte au sens de l’art. 181 CP, lequel protège la liberté de décision et d'action de l'individu,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M. DUPUIS / B. GELLER / G. MONNIER / L. MOREILLON / C. PIGUET / C. BETTEX / D. STOLL (éds), Code pénal: Petit commentaire, Bâle 2012, n. 3 ad art. 18).</w:t>
      </w:r>
    </w:p>
    <w:p>
      <w:r>
        <w:t>En ce qui concerne l'acte "entravant de quelque autre manière sa liberté d'action", il s'agit d'une formulation exagérément large, qui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w:t>
      </w:r>
    </w:p>
    <w:p>
      <w:r>
        <w:t>- 6/9 P/______ IV 50 consid. 2). Les moyens les plus fréquents cités sont la narcose, l'hypnotisme, l'alcool, l'éblouissement, l'esbroufe et l'intimidation (ATF 107 IV 113 = JdT 1982 IV 138 consid. 3b).</w:t>
      </w:r>
    </w:p>
    <w:p>
      <w:r>
        <w:rPr>
          <w:b/>
        </w:rPr>
        <w:t>E. 3.2</w:t>
      </w:r>
    </w:p>
    <w:p>
      <w:r>
        <w:t>Le recourant s'insurge contre le fait que, par ses exigences visant au respect du droit étranger, B______ tend à le contraindre à se soumettre aux normes fiscales de son pays de résidence, alors qu'il n'en avait pas nécessairement l'intention, aux seules fins d'écarter, pour elle, tout risque de poursuite pénale.</w:t>
      </w:r>
    </w:p>
    <w:p>
      <w:r>
        <w:t>Il est vrai que dans son rapport du 22 octobre 2010, la FINMA a précisé que la LFINMA ne prévoyait pas d'obligation directe pour ses assujettis de respecter le droit étranger, spécifiant néanmoins qu'une violation de ce droit pouvait conduire, si des conséquences sérieuses en résultaient pour la banque, à une mise en cause de la garantie d'une activité irréprochable prescrite par l'art. 3 al. 2 LB. Certes, cette loi n'oblige pas les clients de la banque; elle influe néanmoins sur la relation entre ces parties, puisque pour satisfaire à cette garantie, la banque peut être amenée, au vu des circonstances et ensuite d'une évaluation des risques encourus, à prendre des mesures nouvelles, en lien avec son activité, pour éviter d'être prise en défaut. Contrairement à ce que veut faire accroire le recourant, il s'agit bien pour l'établissement en question d'honorer ses engagements au regard du droit suisse et non pas du droit étranger.</w:t>
      </w:r>
    </w:p>
    <w:p>
      <w:r>
        <w:t>Force est, en outre, d'observer que le contexte sociétal change et que les politiques de lutte contre l'évasion fiscale et les "paradis fiscaux", voire contre le secret bancaire, se sont durcies. Il s'ensuit que l'appréhension des risques pour les établissements bancaires de la place genevoise, en particulier, s'est assurément modifiée et une posture que d'aucuns considéraient auparavant comme admissible peut aujourd'hui être jugée périlleuse.</w:t>
      </w:r>
    </w:p>
    <w:p>
      <w:r>
        <w:t>Compte tenu des dernières affaires retentissantes citées par la banque concernant des citoyens ______, il ne fait aucun doute qu'en veillant à écarter un risque concret d'être poursuivie pénalement si devait être révélé qu'elle abrite des fonds fiscalement celés ou autorise des transactions à cette fin, B______ poursuit un but légitime et conforme aux normes régissant son activité.</w:t>
      </w:r>
    </w:p>
    <w:p>
      <w:r>
        <w:t>Il n'en va pas de même pour le recourant et il ne peut raisonnablement et sous prétexte du droit de disposer librement de ses biens, persister à revendiquer à l'égard de ses propres manquement, le paiement de l'impôt sur l'entier de ses revenus et de son patrimoine étant obligatoire, une "impunité", qui fut assurément longtemps de mise, et exiger que B______ faillisse à son devoir actuel de gestion irréprochable. Quant aux allégations du recourant, selon lesquelles d'autres banques procéderaient différemment, elles ne sont nullement étayées et, à l'évidence, sans pertinence pour l'issue de la présente cause.</w:t>
      </w:r>
    </w:p>
    <w:p>
      <w:r>
        <w:t>- 7/9 P/______</w:t>
      </w:r>
    </w:p>
    <w:p>
      <w:r>
        <w:t>Il s'ensuit que les conditions mises par la banque pour restituer ses fonds au recourant n'apparaissent pas abusives ou contraires aux mœurs au sens de l'art. 181 CP. Elles ne sauraient pas davantage être assimilées à un acte de violence.</w:t>
      </w:r>
    </w:p>
    <w:p>
      <w:r>
        <w:t>C'est donc avec raison que le Procureur a retenu que les éléments constitutifs de la contrainte n'étaient pas réalisés, en l'espèce.</w:t>
      </w:r>
    </w:p>
    <w:p>
      <w:r>
        <w:rPr>
          <w:b/>
        </w:rPr>
        <w:t>E. 3.3</w:t>
      </w:r>
    </w:p>
    <w:p>
      <w:r>
        <w:t>Ainsi que l'ont relevé le Ministère public et B______, le fond du litige porte sur la question de savoir si celle-là est fondée ou non à retenir les avoirs du recourant sur la base des art. 119 al. 1 CO et 3 al. 2 LB, nonobstant la proposition alternative qu'il a formulée, en particulier, un transfert vers un compte nominatif ouvert auprès d'une banque hollandaise, question qui relève de l'exécution du contrat conclu entre les parties et ressortit à la compétence des juges civils.</w:t>
      </w:r>
    </w:p>
    <w:p>
      <w:r>
        <w:t>Faute de soupçon d'une quelconque infraction pénale, une instruction ne saurait être ouverte aux seuls fins de suppléer aux voies civiles idoines.</w:t>
      </w:r>
    </w:p>
    <w:p>
      <w:r>
        <w:rPr>
          <w:b/>
        </w:rPr>
        <w:t>E. 4</w:t>
      </w:r>
    </w:p>
    <w:p>
      <w:r>
        <w:t>Justifiée, l'ordonnance querellée sera donc confirmée.</w:t>
      </w:r>
    </w:p>
    <w:p>
      <w:r>
        <w:rPr>
          <w:b/>
        </w:rPr>
        <w:t>E. 5</w:t>
      </w:r>
    </w:p>
    <w:p>
      <w:r>
        <w:t>Le recourant, qui succombe, supportera les frais de la procédure envers l'État (art. 428 al. 1 CPP). * * * * *</w:t>
      </w:r>
    </w:p>
    <w:p>
      <w:r>
        <w:t>- 8/9 P/______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