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ACPR/293/2017 vom 18. September 2017</w:t>
      </w:r>
    </w:p>
    <w:p>
      <w:r>
        <w:t>GE Cour de justice, 2017-09-18, FR</w:t>
      </w:r>
    </w:p>
    <w:p>
      <w:r>
        <w:rPr>
          <w:b/>
        </w:rPr>
        <w:t xml:space="preserve">Quelle: </w:t>
      </w:r>
      <w:r>
        <w:t>https://mcp.opencaselaw.ch/entscheid/ge_gerichte_ACPR_293_2017</w:t>
      </w:r>
    </w:p>
    <w:p>
      <w:r>
        <w:t>FR: GE_GERICHTE ACPR/293/2017 du 18 septembre 2017</w:t>
      </w:r>
    </w:p>
    <w:p>
      <w:r>
        <w:t>IT: GE_GERICHTE ACPR/293/2017 del 18 settembre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2.2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- 8/14 - P/21667/2016</w:t>
      </w:r>
    </w:p>
    <w:p>
      <w:r>
        <w:rPr>
          <w:b/>
        </w:rPr>
        <w:t>E. 3.1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w:t>
      </w:r>
    </w:p>
    <w:p>
      <w:r>
        <w:t>La CPAR a déjà retenu des vols commis précédemment, non pas seulement comme antécédents ayant une influence sur la peine à prononcer, mais aussi comme indice de culpabilité s'agissant du mode opératoire utilisé (AARP/253/2016). Selon la jurisprudence, il est connu que ce critère peut être pris en compte lorsqu'il s'agit d'attribuer une infraction à son auteur présumé (arrêt du Tribunal fédéral 6B_931/2016 du 6 juin 2017 consid. 1.2.2.).</w:t>
      </w:r>
    </w:p>
    <w:p>
      <w:r>
        <w:rPr>
          <w:b/>
        </w:rPr>
        <w:t>E. 3.3</w:t>
      </w:r>
    </w:p>
    <w:p>
      <w:r>
        <w:t>En l'espèce, tant l'appelant, D______ que l'intimé s'accordent à dire que le premier a été au contact physique du dernier, sorti fumer une cigarette. Le plaignant a fort bien décrit le manège des auteurs, D______ détournant l'attention de l'intimé en parlant pendant que son comparse le touchait de manière amicale, tout en gesticulant. Il s'agit d'une manière de voler bien connue à Genève et communément appelée par la police "à la Zizous". L'appelant a au demeurant reconnu cette manière de faire avec son comparse, en audience de confrontation, ayant même encouragé ce dernier à reconnaître sa participation, et le vol commis, ne revenant que plus tard de manière peu crédible sur ses déclarations. Sa troisième ligne de défense – après la contestation du vol puis son admission – consistant à dire avoir trouvé l'objet à terre est ainsi loin de convaincre. Contrairement à ce que soutient l'appelant, si le plaignant n'a pas, dans un premier temps, pu s'imaginer un vol, tant les auteurs ont été habiles pour lui dérober son bien, cela lui a pourtant paru évident après l'appel des agents municipaux. L'intimé a été d'emblée formel et constant s'agissant d'avoir été en possession de cet appareil, dans la poche de son pantalon, au moment de sortir fumer. C'est directement après son contact avec l'appelant et la diversion de son comparse D______ qu'il s'est aperçu de sa disparition. Cette manière de faire est par ailleurs coutumière chez le prévenu qui a été condamné par deux fois pour des cas en tous points similaires, dont un vol de téléphone dans un pantalon (OPMP/____/2014 du 25 juillet 2014 - P/____/2014), en sus d'un sac à main posé à terre, ayant dans les trois cas agi avec un comparse. Au surplus, il est à noter que D______ n'a pas contesté sa condamnation pour les faits du 17 novembre 2016. Il existe ainsi un faisceau d'indices convergent du vol par l'appelant et son comparse du téléphone de la victime, le bris de possession étant intervenu au moment pour l'appelant de sortir cet objet de la poche du pantalon de la victime, tout en la palpant et en gesticulant, ce vêtement fût-il près du corps, de sorte à ce qu'elle ne s'aperçoive qu'ultérieurement de sa disparition, une fois les auteurs en fuite.</w:t>
      </w:r>
    </w:p>
    <w:p>
      <w:r>
        <w:t>- 9/14 - P/21667/2016 Pour l'ensemble de ces motifs, la CPAR confirme la décision des premiers juges et reconnaît A______ coupable de vol au sens de l'art. 139 ch. 1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w:t>
      </w:r>
    </w:p>
    <w:p>
      <w:r>
        <w:rPr>
          <w:b/>
        </w:rPr>
        <w:t>E. 4.2</w:t>
      </w:r>
    </w:p>
    <w:p>
      <w:r>
        <w:t>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et 7). Au regard de la jurisprudence, les condamnations prises en compte en application de l'art. 42 al. 2 CP doivent être entrées en force avant la commission des faits</w:t>
      </w:r>
    </w:p>
    <w:p>
      <w:r>
        <w:t>- 10/14 - P/21667/2016 reprochés, soit constituer un antécédent (arrêt du Tribunal fédéral 6B_348/2014 du 19 juin 2014 consid. 2.4 non publié in ATF 140 IV 97).</w:t>
      </w:r>
    </w:p>
    <w:p>
      <w:r>
        <w:rPr>
          <w:b/>
        </w:rPr>
        <w:t>E. 4.2.1</w:t>
      </w:r>
    </w:p>
    <w:p>
      <w:r>
        <w:t>A teneur de l'art. 49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4.2.2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Bâle 2009, n. 55 ad art. 47).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4.3</w:t>
      </w:r>
    </w:p>
    <w:p>
      <w:r>
        <w:t>En l'espèce, le prévenu est reconnu coupable de vol au sens de l'art. 139 ch. 1 CP et d'infractions aux art. 115 al. 1 let. b et 119 LEtr, concours d'infractions conduisant à une aggravation de la peine dans une juste proportion. La faute de l'appelant n'est pas anodine. Son mobile est égoïste. Sa situation personnelle, bien que précaire, ne peut justifier ses agissements dans la mesure où elle résulte de son choix de demeurer en Suisse sans droit. Sa collaboration à la procédure doit être qualifiée de mauvaise. Bien qu'il ait admis certains faits, qu'il pouvait au demeurant difficilement contester ayant en particulier</w:t>
      </w:r>
    </w:p>
    <w:p>
      <w:r>
        <w:t>- 11/14 - P/21667/2016 été interpellé sur le territoire où il résidait sans droit, dans une zone du canton lui étant interdite, il a continué – après l'avoir reconnu – à nier, jusqu'au stade de l'appel, avoir joué un quelconque rôle dans la commission du vol, en dépit des éléments contraires figurant au dossier et l'accablant. Sa prise de conscience apparait ainsi des plus incomplète. Il a de nombreux antécédents pour des infractions contre le patrimoine et à la LEtr. Il n'a tiré aucune leçon des décisions de justice prises à son encontre. Il n'a pas davantage su tirer profit d'une libération conditionnelle, pas plus que de deux refus subséquents et plus récents, et s'est montré insensible à ses condamnations subséquentes. Vu la répétition de délits de même genre, mais aussi contre la LStup, en l'espace de quelques mois seulement, la situation précaire de l'appelant en Suisse qui ne s'est pas améliorée depuis sa venue et dont aucun élément du dossier ne laisse présager que tel pourrait être le cas à l'avenir, le pronostic ne peut qu'être défavorable. Par conséquent, seule une peine ferme pouvait être prononcée. Eu égard à son statut administratif et aux peines privatives de liberté déjà fixées, et, manifestement non dissuasives, la propension de l'appelant à commettre des infractions ne permet pas d'envisager une peine de travail d'intérêt général ou une peine pécuniaire au titre de sanction, ce qu'il ne plaide au demeurant pas. C’est donc à bon droit que le premier juge l'a condamné à une peine privative de liberté ferme de six mois, dont à déduire les 34 jours de détention avant jugement. L'octroi du sursis est exclu, vu la condamnation à une peine privative de liberté de six mois prononcée en juin 2016 et en l'absence de la moindre circonstance permettant de retenir que le pronostic serait particulièrement favorable (art. 42 al. 2 CP). La peine prononcée par le premier juge sera donc confirmée.</w:t>
      </w:r>
    </w:p>
    <w:p>
      <w:r>
        <w:rPr>
          <w:b/>
        </w:rPr>
        <w:t>E. 5</w:t>
      </w:r>
    </w:p>
    <w:p>
      <w:r>
        <w:t>L'appelant, qui succombe, supportera les frais de la procédure envers l'Etat, comprenant un émolument de jugement de CHF 2'000.- (art. 428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- 12/14 - P/21667/2016</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6.3</w:t>
      </w:r>
    </w:p>
    <w:p>
      <w:r>
        <w:t>En l'occurrence, l'indemnisation requise par le défenseur d'office de l'appelant paraît adéquate, de sorte qu'il n'est pas nécessaire de reprendre le détail du poste qui compose son état de frais. Aussi, l'indemnité requise, au tarif de CHF 200.-/heure, sera allouée (CHF 1'300.-) à laquelle s'ajoute la majoration forfaitaire de 20% (CHF 260.-) et l'équivalent de la TVA au taux de 8% (CHF 124.80), pour un total de CHF 1'684.80.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