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ACPR/290/2020 vom 17. Januar 2020</w:t>
      </w:r>
    </w:p>
    <w:p>
      <w:r>
        <w:t>GE Cour de justice, 2020-01-17, FR</w:t>
      </w:r>
    </w:p>
    <w:p>
      <w:r>
        <w:rPr>
          <w:b/>
        </w:rPr>
        <w:t xml:space="preserve">Quelle: </w:t>
      </w:r>
      <w:r>
        <w:t>https://mcp.opencaselaw.ch/entscheid/ge_gerichte_ACPR_290_2020</w:t>
      </w:r>
    </w:p>
    <w:p>
      <w:r>
        <w:t>FR: GE_GERICHTE ACPR/290/2020 du 17 janvier 2020</w:t>
      </w:r>
    </w:p>
    <w:p>
      <w:r>
        <w:t>IT: GE_GERICHTE ACPR/290/2020 del 17 gennaio 2020</w:t>
      </w:r>
    </w:p>
    <w:p>
      <w:pPr>
        <w:pStyle w:val="Heading2"/>
      </w:pPr>
      <w:r>
        <w:t>Erwägungen</w:t>
      </w:r>
    </w:p>
    <w:p>
      <w:r>
        <w:rPr>
          <w:b/>
        </w:rPr>
        <w:t>E. 1</w:t>
      </w:r>
    </w:p>
    <w:p>
      <w:r>
        <w:t>La Chambre pénale de recours peut décider d'emblée de traiter, sans échange d'écritures ni débats, les recours manifestement mal fondés (art. 390 al. 2 et 5 CPP a contrario). Tel est le cas en l'espèce pour les motifs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2.2</w:t>
      </w:r>
    </w:p>
    <w:p>
      <w:r>
        <w:t>En tant que le recourant agirait aussi au nom de D______ et E______ sur la base d'une cession de créance, ce que semble dire le recourant, le recours est irrecevable à leur égard, la cession à un tiers de la créance fondée sur le dommage causé par une infraction ne conférant en principe pas à ce tiers la qualité de lésé (arrêts du Tribunal fédéral 6B_507/2018 du 24 septembre 2018 consid. 2.3 et 6B_549/2013 du 24 février 2014 consid. 3.2.2 in fine).</w:t>
      </w:r>
    </w:p>
    <w:p>
      <w:r>
        <w:rPr>
          <w:b/>
        </w:rPr>
        <w:t>E. 3</w:t>
      </w:r>
    </w:p>
    <w:p>
      <w:r>
        <w:t>Reste à déterminer si le recourant dispose d’un intérêt juridiquement protégé à la modification ou à l'annulation de la décision querellée (art. 382 al. 1 CPP).</w:t>
      </w:r>
    </w:p>
    <w:p>
      <w:r>
        <w:t>- 11/16 - P/13425/2012</w:t>
      </w:r>
    </w:p>
    <w:p>
      <w:r>
        <w:rPr>
          <w:b/>
        </w:rPr>
        <w:t>E. 3.1</w:t>
      </w:r>
    </w:p>
    <w:p>
      <w:r>
        <w:t>En l’espèce, le recourant n’a pas d’intérêt juridiquement protégé à se plaindre du classement de la procédure pour fraude dans la saisie. En effet, seuls les créanciers individuels directement touchés sont légitimés à se constituer partie plaignante dans la procédure pénale s'agissant de l’infraction prévue à l’art. 163 CP (arrêts du Tribunal fédéral 6B_1279/2018 du 26 mars 2019 consid. 1.2.1et 6B_252/2013 du 14 mai 2013 consid. 2.2). Or, si le recourant était certes un créancier de B______ dans le cadre des faits qu’il avait dénoncés dans sa plainte pénale du 25 mars 2003 – pour lesquels le précité a été condamné –, tel n’est pas le cas s’agissant des actes qu’il lui reproche dans le cadre de la faillite de C______ SA ou dans la poursuite pour dettes intentée par I______. Le recourant n’est, d’une part, pas créancier de la société précitée, dans la faillite de laquelle il n’a d’ailleurs pas produit de créance ; d’autre part, le préjudice qu’il invoque n’est qu’indirectement dû aux actes qu’il impute à B______ – tant dans le cadre de la faillite de C______ SA (admission à l’état de collocation d’une créance selon lui fictive) que dans la poursuite pour dettes intentée par I______ (remise des cédules hypothécaires relatives à sa maison de H______). Le préjudice invoqué découle, indirectement, de l’action révocatoire intentée à son égard par I______ et admise par les autorités civiles. Partant, le recours est irrecevable sur ce point.</w:t>
      </w:r>
    </w:p>
    <w:p>
      <w:r>
        <w:rPr>
          <w:b/>
        </w:rPr>
        <w:t>E. 3.2</w:t>
      </w:r>
    </w:p>
    <w:p>
      <w:r>
        <w:t>La recevabilité du recours contre le classement du chef d'escroquerie paraît également douteuse. En effet, pour être directement touché, le lésé doit subir une atteinte en rapport de causalité directe avec l'infraction poursuivie, ce qui exclut les personnes subissant un préjudice indirect ou par ricochet (arrêt du Tribunal fédéral 6B_857/2017 du 3 avril 2018 consid. 2.1 et les arrêts cités). En l'espèce, les actes que le recourant reproche à I______ auraient, s’ils étaient avérés, porté atteinte au patrimoine de C______ SA et de B______. Ce n'est qu'indirectement, soit par ricochet, que le patrimoine du recourant a été appauvri, en raison de l’action révocatoire intentée par J______ contre lui dans le cadre de la faillite de C______ SA. Le recours étant quoi qu’il en soit infondé, pour les raisons qui suivent, cette question peut, en l'état, demeurer indécise.</w:t>
      </w:r>
    </w:p>
    <w:p>
      <w:r>
        <w:rPr>
          <w:b/>
        </w:rPr>
        <w:t>E. 4</w:t>
      </w:r>
    </w:p>
    <w:p>
      <w:r>
        <w:t>Le recourant reproche au Ministère public d'avoir classé sa plainte pénale pour escroquerie contre I______.</w:t>
      </w:r>
    </w:p>
    <w:p>
      <w:r>
        <w:rPr>
          <w:b/>
        </w:rPr>
        <w:t>E. 4.1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Celui-ci, qui découle du principe de la légalité (art. 5 al. 1 Cst. et 2 al. 2 CPP en</w:t>
      </w:r>
    </w:p>
    <w:p>
      <w:r>
        <w:t>- 12/16 - P/13425/2012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du Tribunal fédéral 6B_718/2018 du 15 mars 2019 consid. 4.3.1 ; 6B_817/2018 du 23 octobre 2018 consid. 2.3.1 ; 6B_446/2018 du 17 juillet 2018 consid. 2.1 et les références citées). Pour qu'il y ait escroquerie, une simple tromperie ne suffit pas. Il faut encore qu'elle soit astucieuse. Il y a tromperie astucieuse, au sens de l'art. 146 CP, lorsque l'auteur recourt à un édifice de mensonges, à des manœuvres frauduleuses ou à une mise en</w:t>
      </w:r>
    </w:p>
    <w:p>
      <w:r>
        <w:t>- 13/16 - P/13425/2012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w:t>
      </w:r>
    </w:p>
    <w:p>
      <w:r>
        <w:rPr>
          <w:b/>
        </w:rPr>
        <w:t>E. 4.3</w:t>
      </w:r>
    </w:p>
    <w:p>
      <w:r>
        <w:t>En l’espèce, le recourant reproche à I______ d’avoir fait comme si sa créance contre B______ et celle de J______ contre C______ SA étaient indépendantes l’une de l’autre – alors qu’elles résultaient du même rapport de droit –, et d’avoir dès lors non seulement agi de manière séparée pour récupérer la même somme, mais d’avoir omis d’informer l’Office des faillites de Genève qu’il avait été désintéressé dans le cadre de la poursuite pour dettes intentée contre le débiteur, à L______ [VD], sans jamais livrer de décompte consolidé des montants perçus. À l’appui de ses soupçons, le recourant ne démontre toutefois, ni même n’allègue, que I______ se trouvait, à l’égard de l’Office des faillites, ou même à son égard à lui, dans une position de garant, à savoir qu’il aurait eu, en vertu de la loi, d'un contrat ou d'un rapport de confiance spécial, une obligation d’annoncer qu'il avait perçu des remboursements dans le cadre de la poursuite intentée à titre personnel contre B______. Les éléments constitutifs d’une escroquerie ne sont par conséquent, pour ce motif déjà, pas réalisés. Par ailleurs, tout en laissant entendre que I______ aurait, par le total des poursuites séparées intentées selon la LP, y compris l’action révocatoire, perçu plus que sa créance initiale – de USD 1'348'877.- selon l’arrêt du 23 mai 2008 ayant condamné B______ pour abus de confiance –, le recourant ne rend pas vraisemblable que tel aurait été le cas. Ce montant demeure supérieur à la somme de CHF 1'297'193.75 supposément récupérée par I______ selon la plainte pénale. En outre, la lettre que l’avocat du précité a adressée le 22 octobre 2014 à l’Office des faillites de Genève détaille les sommes obtenues par les poursuites cumulées, intentées tant par son client que par J______, et le recourant n’en discute même pas le contenu. Il s’ensuit que, faute de soupçon suffisant d’enrichissement illégitime, il n’existe pas de prévention pénale d’escroquerie.</w:t>
      </w:r>
    </w:p>
    <w:p>
      <w:r>
        <w:t>- 14/16 - P/13425/2012 C’est ainsi à juste titre que le Ministère public a classé les faits dénoncés, sans procéder aux actes d’instruction requis. Au demeurant, la "mise en prévention" de I______, au sens où semble l'entendre le recourant, est non seulement un acte procédural que le CPP ne connaît pas (S. GRODECKI, La "mise en prévention" : un abus de langage, forumpoenale 2/2019, p. 159-161), mais le Ministère public avait précisément ouvert une instruction contre le précité (cf. B.t. supra), conformément à l’art. 309 al. 1 CPP. L’audition de I______ n’apporterait rien de plus que les explications que son conseil a déjà fournies par écrit. Tant l’instruction de la quotité des honoraires du conseil du précité (imputés au recourant) que l’expertise financière requise seraient impropres à renseigner sur l'existence d'un devoir spontané de renseigner incombant au prévenu, et paraissent inutiles et disproportionnées en l'absence de soupçon suffisant d'enrichissement illégitime. Le droit d’être entendu du recourant n’a, dès lors, pas été violé et il ne tire aucun grief consistant, ni aucune conclusion, de l’ouverture au prévenu I______ du dossier de la procédure avant même l’audition de celui-ci (art. 101 al. 1 et 104 al. 1 let. a CPP).</w:t>
      </w:r>
    </w:p>
    <w:p>
      <w:r>
        <w:rPr>
          <w:b/>
        </w:rPr>
        <w:t>E. 4.4</w:t>
      </w:r>
    </w:p>
    <w:p>
      <w:r>
        <w:t>Justifiée, l'ordonnance querellée sera donc confirmée.</w:t>
      </w:r>
    </w:p>
    <w:p>
      <w:r>
        <w:rPr>
          <w:b/>
        </w:rPr>
        <w:t>E. 5</w:t>
      </w:r>
    </w:p>
    <w:p>
      <w:r>
        <w:t>Le recourant, qui succombe, supportera les frais envers l'État, qui seront fixés en totalité à CHF 1’500.- (art. 428 al. 1 CPP et 13 al. 1 du Règlement fixant le tarif des frais en matière pénale, RTFMP ; E 4 10.03). * * * * *</w:t>
      </w:r>
    </w:p>
    <w:p>
      <w:r>
        <w:t>- 15/16 - P/13425/2012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