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ACPR/28/2023 vom 20. Februar 2006</w:t>
      </w:r>
    </w:p>
    <w:p>
      <w:r>
        <w:t>GE Cour de justice, 2006-02-20, FR</w:t>
      </w:r>
    </w:p>
    <w:p>
      <w:r>
        <w:rPr>
          <w:b/>
        </w:rPr>
        <w:t xml:space="preserve">Quelle: </w:t>
      </w:r>
      <w:r>
        <w:t>https://mcp.opencaselaw.ch/entscheid/ge_gerichte_ACPR_28_2023</w:t>
      </w:r>
    </w:p>
    <w:p>
      <w:r>
        <w:t>FR: GE_GERICHTE ACPR/28/2023 du 20 février 2006</w:t>
      </w:r>
    </w:p>
    <w:p>
      <w:r>
        <w:t>IT: GE_GERICHTE ACPR/28/2023 del 20 febbraio 2006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au sens de l'art. 393 CPP est la voie de droit ouverte contre les décisions rendues par le TAPEM (art. 42 al. 1 let. b LaCP), lesquelles constituent une "autre décision ultérieure" indépendante au sens de l'art. 363 al. 3 CPP (arrêts du Tribunal fédéral 6B_1136/2015 du 18 juillet 2016 consid. 4.3; Y. JEANNERET / A. KUHN / C. PERRIER DEPEURSINGE (éds), Commentaire romand : Code de procédure pénale suisse, 2ème éd., Bâle 2019, n. 30 ad art. 363).</w:t>
      </w:r>
    </w:p>
    <w:p>
      <w:r>
        <w:rPr>
          <w:b/>
        </w:rPr>
        <w:t>E. 2.2</w:t>
      </w:r>
    </w:p>
    <w:p>
      <w:r>
        <w:t>La procédure devant la Chambre de céans est régie par le CPP, applicable au titre de droit cantonal supplétif (art. 42 al. 2 LaCP).</w:t>
      </w:r>
    </w:p>
    <w:p>
      <w:r>
        <w:rPr>
          <w:b/>
        </w:rPr>
        <w:t>E. 2.3</w:t>
      </w:r>
    </w:p>
    <w:p>
      <w:r>
        <w:t>Le recours est en outre ouvert contre le mandat d'expertise (arrêt du Tribunal fédéral 1B_242/2018 du 6 septembre 2018). Le recours est ainsi recevable, pour avoir été déposé selon la forme et dans le délai prescrits (art. 90 al. 2, 385 al. 1 et 396 al. 1 CPP), par la personne visée par le mandat, qui a un intérêt juridiquement protégé à l'annulation ou à la modification de la décision attaquée (art. 382 al. 1 CPP).</w:t>
      </w:r>
    </w:p>
    <w:p>
      <w:r>
        <w:rPr>
          <w:b/>
        </w:rPr>
        <w:t>E. 3.1</w:t>
      </w:r>
    </w:p>
    <w:p>
      <w:r>
        <w:t>À teneur de l'art. 182 CPP, le ministère public et les tribunaux ont recours à un ou plusieurs experts lorsqu’ils ne disposent pas des connaissances et des capacités nécessaires pour constater ou juger un état de fait.</w:t>
      </w:r>
    </w:p>
    <w:p>
      <w:r>
        <w:rPr>
          <w:b/>
        </w:rPr>
        <w:t>E. 3.2</w:t>
      </w:r>
    </w:p>
    <w:p>
      <w:r>
        <w:t>Dans le cadre d’un mandat d’expertise, l’art. 184 al. 3 1ère phrase CPP prévoit que la direction de la procédure donne préalablement aux parties l'occasion de s'exprimer sur le choix de l'expert et les questions qui lui sont posées et de faire leurs propres propositions. Il s’agit de respecter ainsi leur droit d’être entendu (Y. JEANNERET / A. KUHN / C. PERRIER DEPEURSINGE (éds), Commentaire romand, Code de procédure pénale suisse, 2e éd., Bâle 2019, n. 9 et 16 ad art. 184; A. DONATSCH / T. HANSJAKOB / V. LIEBER (éds), Kommentar zur Schweizerischen Strafprozess- ordnung (StPO), Zürich 2010, n. 36 ad art. 184). Il convient de laisser les parties s’exprimer sur le choix et la formulation des questions avant de mandater l’expert, plutôt que d’attendre le dépôt de l’expertise et de n’offrir aux parties qu’une possibilité de demander des précisions et des compléments (Y. JEANNERET / A. KUHN / C. PERRIER DEPEURSINGE (éds), op. cit., n. 9 ad art. 184).</w:t>
      </w:r>
    </w:p>
    <w:p>
      <w:r>
        <w:t>- 8/11 - PM/774/2022 L’autorité n’est toutefois pas obligée de tenir compte de l’avis exprimé. Les parties peuvent alors faire recours contre le choix des questions posées ou de leur formulation (art. 393 al. 1 let. a CPP). Dans tous les cas, les parties conservent le droit de poser des questions complémentaires, voire de demander une contre- expertise si elles établissent que l'expertise est incomplète, peu claire, ou inexacte (art. 189 CPP; Y. JEANNERET / A. KUHN / C. PERRIER DEPEURSINGE (éds), op. cit., n. 17 ad art. 184).</w:t>
      </w:r>
    </w:p>
    <w:p>
      <w:r>
        <w:rPr>
          <w:b/>
        </w:rPr>
        <w:t>E. 3.3</w:t>
      </w:r>
    </w:p>
    <w:p>
      <w:r>
        <w:t>En l'espèce, on peine tout d'abord à discerner en quoi le TAPEM aurait violé le droit d'être entendu dès lors que l'art. 184 al. 3 CPP a été pleinement respecté, en l'occurrence, par l'envoi au conseil du recourant du projet de mandat du 29 septembre 2022, l'invitant à proposer d'éventuelles questions supplémentaires. Le rejet – partiel – de ses propositions peut être contesté, mais ne constitue en aucun cas une violation de son droit d'être entendu. Ce grief sera donc rejeté.</w:t>
      </w:r>
    </w:p>
    <w:p>
      <w:r>
        <w:rPr>
          <w:b/>
        </w:rPr>
        <w:t>E. 3.4</w:t>
      </w:r>
    </w:p>
    <w:p>
      <w:r>
        <w:t>Le recourant soutient que la reformulation, par le TAPEM, de sa question 1.1 ne permettrait pas d'attirer l'attention des experts sur la notion de gravité du trouble mental dont il souffre. Or, le recourant perd de vue que l'art. 63 CP prévoit expressément que le prononcé d'une mesure ne se justifie que si le trouble mental est grave. La question de savoir quand et dans quel contexte un trouble mental est suffisamment grave pour justifier une mesure relève du pouvoir d’appréciation du juge. Pour ce faire, le tribunal doit consulter des experts psychiatres (art. 56 al. 3 CP), lesquels se prononcent sur la gravité du trouble diagnostiqué (L. MOREILLON / Nicolas QUELOZ / Alain MACALUSO / Nathalie DONGOIS (éds), Commentaire romand du Code pénal I, Bâle 2021, n. 7 et 7a ad art. 59 applicable par analogie à l'art. 63 CP, cf. n. 3 ad. art. 63). Au vu de ce qui précède, il n'y a pas lieu de craindre que la formulation de la question I.2, rédigée conformément à l'art. 63 al. 1 CP – lequel vise le "grave trouble mental" –, influence, de quelque façon que ce soit, la capacité des experts à y répondre, en particulier de s'exprimer sur le degré de sévérité de l'éventuel trouble mental constaté, dès lors qu'ils seront précisément amenés à préciser, selon les termes scientifiquement consacrés, si ledit trouble est sérieux, de gravité moyenne, bénin ou inexistant.</w:t>
      </w:r>
    </w:p>
    <w:p>
      <w:r>
        <w:rPr>
          <w:b/>
        </w:rPr>
        <w:t>E. 3.5</w:t>
      </w:r>
    </w:p>
    <w:p>
      <w:r>
        <w:t>Le recourant soutient que le but de ses questions 1.3 et 1.5 était de savoir si, en cas d'interruption de son traitement par neuroleptiques ou neuroleptiques atypiques, il présentait, pour la société, en raison de son trouble mental, un risque de commission de délits ou de crimes, pour le passé et l'avenir. En d'autres termes, le recourant souhaite que l'expert s'exprime sur le risque de récidive qu'il aurait présenté</w:t>
      </w:r>
    </w:p>
    <w:p>
      <w:r>
        <w:t>- 9/11 - PM/774/2022 ou présenterait encore à l'égard de la société en cas d'interruption du traitement médicamenteux préconisé jusqu'alors. Or, force est de constater que l'examen du risque de récidive fait déjà l'objet de la question II.2 du mandat querellé. Si ladite question est certes formulée de manière usuelle, elle est à mettre en relation avec les questions II.3 et II.5, lesquelles questionnent l'expert sur la nécessité du traitement ambulatoire au sens de l'art. 63 CP et, le cas échéant, la prolongation de celui-ci et selon quelles modalités. Ainsi, si l'expert devait admettre un risque que le recourant commette à nouveau des infractions en lien avec l'éventuel grave trouble mental, l'expert serait aussi amené à se prononcer sur le traitement médical ou les soins spéciaux susceptibles de l'empêcher de commettre de nouvelles infractions portant gravement atteinte à l'intégrité physique, psychique ou sexuelle d'autrui. Les réponses données par l'expert permettront donc nécessairement de répondre à la question spécifique du recourant. Cela étant, si à ses yeux, la réponse de l'expert aux questions, telles qu'énoncées dans le mandat, ne devait pas lui sembler suffisamment explicite, il serait ultérieurement habilité, pour autant que les conditions soient remplies, à formuler des observations (art. 188 CPP) ou encore à requérir des éclaircissements (art. 189 let. a CPP). Le recourant aura enfin toute latitude de poser, à l'expert, les questions nécessaires à la défense de ses intérêts lorsque celui-ci sera entendu contradictoirement (art. 187 al. 2 CPP), les réponses données à cette occasion n'ayant pas moins de valeur que celles fournies dans le cadre de son rapport écrit. C'est donc à juste titre que le TAPEM a refusé d'intégrer ces questions au mandat d'expertise.</w:t>
      </w:r>
    </w:p>
    <w:p>
      <w:r>
        <w:rPr>
          <w:b/>
        </w:rPr>
        <w:t>E. 4</w:t>
      </w:r>
    </w:p>
    <w:p>
      <w:r>
        <w:t>Justifiée, la décision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- 10/11 - PM/774/2022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