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ACPR/28/2022 vom 20. Dezember 2021</w:t>
      </w:r>
    </w:p>
    <w:p>
      <w:r>
        <w:t>GE Cour de justice, 2021-12-20, FR</w:t>
      </w:r>
    </w:p>
    <w:p>
      <w:r>
        <w:rPr>
          <w:b/>
        </w:rPr>
        <w:t xml:space="preserve">Quelle: </w:t>
      </w:r>
      <w:r>
        <w:t>https://mcp.opencaselaw.ch/entscheid/ge_gerichte_ACPR_28_2022</w:t>
      </w:r>
    </w:p>
    <w:p>
      <w:r>
        <w:t>FR: GE_GERICHTE ACPR/28/2022 du 20 décembre 2021</w:t>
      </w:r>
    </w:p>
    <w:p>
      <w:r>
        <w:t>IT: GE_GERICHTE ACPR/28/2022 del 20 dicembre 2021</w:t>
      </w:r>
    </w:p>
    <w:p>
      <w:pPr>
        <w:pStyle w:val="Heading2"/>
      </w:pPr>
      <w:r>
        <w:t>Erwägungen</w:t>
      </w:r>
    </w:p>
    <w:p>
      <w:r>
        <w:rPr>
          <w:b/>
        </w:rPr>
        <w:t>E. 1.1</w:t>
      </w:r>
    </w:p>
    <w:p>
      <w:r>
        <w:t>Le recours est recevable pour avoir été déposé selon la forme et dans le délai prescrits (art. 385 al. 1 et 396 al. 1 CPP) – conformément à la pratique admise (arrêts du Tribunal fédéral 5P.113/2005 consid. 3.1; 5A_267/2008 du 16 octobre 2008 consid. 2 et 3; 6B_157/2020 du 07 février 2020 –, concerner une ordonnance sujette à recours auprès de la Chambre de céans (art. 222 et 393 al. 1 let. c CPP) et émaner du prévenu qui, partie à la procédure (art. 104 al. 1 let. a CPP), a qualité pour agir,</w:t>
      </w:r>
    </w:p>
    <w:p>
      <w:r>
        <w:t>- 10/16 - P/5431/2021 ayant un intérêt juridiquement protégé à la modification ou à l'annulation de la décision querellée (art. 382 al. 1 CPP).</w:t>
      </w:r>
    </w:p>
    <w:p>
      <w:r>
        <w:rPr>
          <w:b/>
        </w:rPr>
        <w:t>E. 1.2</w:t>
      </w:r>
    </w:p>
    <w:p>
      <w:r>
        <w:t>Toutefois, les conclusions constatatoires n'ont pas leur place dans un recours en matière de détention (ACPR/754/2021; ACPR/657/2021; ACPR/4/2021). Selon un principe général de procédure, les conclusions constatatoires ont, en effet, un caractère subsidiaire et ne sont recevables que lorsque des conclusions condamnatoires ou formatrices sont exclues (ATF 141 IV 349 consid. 3.4.2; arrêts du Tribunal fédéral 6B_445/2020 du 29 juin 2020 consid. 1.2 et 1B_102/2015 du 29 avril 2015 consid. 1.1.1). Partant, seule la conclusion du recourant visant à obtenir sa mise en liberté immédiate est recevable.</w:t>
      </w:r>
    </w:p>
    <w:p>
      <w:r>
        <w:rPr>
          <w:b/>
        </w:rPr>
        <w:t>E. 2</w:t>
      </w:r>
    </w:p>
    <w:p>
      <w:r>
        <w:t>Le recourant invoque une diminution des charges retenues contre lui.</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si le recourant nie tout lien avec les stupéfiants retrouvés dans l'appartement de C______ à la route 1______ en mars 2021, force est de constater qu'il ne conteste pas que la drogue retrouvée dans son propre appartement lui appartient ni d'avoir, à tout le moins jusqu'en janvier 2021, instruit le précité pour qu'il vende des stupéfiants, notamment aux clients auxquels il avait fourni les coordonnées du susnommé. Par ailleurs, ses déclarations ont largement fluctué.</w:t>
      </w:r>
    </w:p>
    <w:p>
      <w:r>
        <w:t>- 11/16 - P/5431/2021 Il a finalement, dans ses récentes déclarations, orales et écrites, exposé avoir acheté à G______, en octobre 2020, 40 grammes de crystal meth à "D______" qu'il avait importés en Suisse et vendus à des clients à Genève. Par la suite, il dit avoir acheté à "D______" une plus grande quantité de cette drogue, qu'il avait importée en Suisse après l'avoir récupérée en France. Ne souhaitant pas vendre lui-même ces stupéfiants – qu'il avait toutefois conservés à son domicile, avenue 2______ –, il avait convenu avec "D______" d'initier C______ au marché genevois, l'accueillant à Genève, mettant à sa disposition un logement et une voiture, et en remettant à ses clients les coordonnées du précité pour qu'ils se fournissent auprès de lui, à l'instar de E______. En novembre 2020, il dit être encore allé récupérer en France C______ qui revenait de G______ avec une nouvelle quantité de drogue, qu'il aurait stockée dans son appartement, à l’avenue 2______, étant relevé qu'à ce moment-là C______ était toujours logé dans l'appartement mis à sa disposition par le recourant et disposait toujours de la voiture louée à son nom de ce dernier. Il s'ensuit que même en faisant, cas échéant, abstraction de la drogue découverte dans l'appartement de C______, pour laquelle les déclarations des prévenus demeurent en l'état contradictoires, il ressort des aveux du recourant et des éléments au dossier qu'il a bel et bien importé et vendu, personnellement, puis par l'intermédiaire de C______, en le supervisant et mettant à sa disposition les moyens pour le faire, une grande quantité de stupéfiants, en particulier de la crystal meth, entre octobre 2020 et à tout le moins janvier 2021. Les charges ne se sont donc nullement amoindries et demeurent suffisantes au sens de l'art. 221 al. 1 1ère phrase CPP. L'instruction en cours vise à circonscrire les rôles respectifs des prévenus, en particulier l'éventuel lien du recourant avec les stupéfiants retrouvés chez C______. La question de savoir si les actes d'instruction envisagés par le Ministère public nécessitent le maintien en détention provisoire du recourant pour la durée ordonnée sera examinée ci-après (consid. 7 infra).</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t>- 12/16 - P/5431/2021</w:t>
      </w:r>
    </w:p>
    <w:p>
      <w:r>
        <w:rPr>
          <w:b/>
        </w:rPr>
        <w:t>E. 3.2</w:t>
      </w:r>
    </w:p>
    <w:p>
      <w:r>
        <w:t>En l'espèce, si le recourant habite et travaille certes à Genève depuis novembre 2015, il n'a pas d'attaches particulières en Suisse. Célibataire, il n'y a, selon ses propres déclarations, pas d'amis proches ni de réseau social fort. Son père et sa sœur vivent en Angleterre, pays dans lequel il a vécu et étudié durant plus de vingt ans. Il a, en outre, vécu de 2009 à 2014 aux Pays-Bas, pays dans lequel il a créé des attaches fortes puisqu'il y a même fait l'acquisition d'un appartement, qu'il aurait, selon ses dires, vendu en 2020 ou 2021. Au vu des charges graves qui pèsent sur lui, tant au regard de la LStup que de la pédopornographie – laquelle vise selon l'art. 197 al. 4 2ème phrase CP la représentation d'actes d'ordre sexuel effectifs avec des mineurs – le risque est très grand, et concret, que le recourant ne décide, en dépit de son emploi à Genève, de quitter la Suisse pour rejoindre son pays d'origine ou les Pays-Bas.</w:t>
      </w:r>
    </w:p>
    <w:p>
      <w:r>
        <w:rPr>
          <w:b/>
        </w:rPr>
        <w:t>E. 4</w:t>
      </w:r>
    </w:p>
    <w:p>
      <w:r>
        <w:t>Le recourant conteste le risque de collusion.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En l'espèce, le risque de collusion entre le recourant et C______ n'est en l'état que relatif car si le premier venait à être libéré et pas le second, le contact entre les deux continuerait d'être évité. Un risque concret et important existe bien plutôt à l'égard de la clientèle qu'il est reproché au recourant d'avoir mise à la disposition de son co-prévenu. C'est donc à bon droit que le TMC a retenu qu'il y avait lieu d'éviter, par le maintien du prévenu en détention provisoire, tout contact avec ces personnes, à tout le moins jusqu'à leur audition et leur confrontation.</w:t>
      </w:r>
    </w:p>
    <w:p>
      <w:r>
        <w:rPr>
          <w:b/>
        </w:rPr>
        <w:t>E. 5</w:t>
      </w:r>
    </w:p>
    <w:p>
      <w:r>
        <w:t>Le recourant conteste le risque de réitération, mais ce dernier n'a pas été retenu par les précédentes autorités, de sorte qu'il ne sera pas examiné, étant relevé que la réalisation d'un seul des risques – alternatifs – prévus à l'art. 221 al. 1 CPP suffit.</w:t>
      </w:r>
    </w:p>
    <w:p>
      <w:r>
        <w:rPr>
          <w:b/>
        </w:rPr>
        <w:t>E. 6</w:t>
      </w:r>
    </w:p>
    <w:p>
      <w:r>
        <w:t>Le recourant reproche au TMC de ne pas avoir ordonné des mesures de substitution.</w:t>
      </w:r>
    </w:p>
    <w:p>
      <w:r>
        <w:t>- 13/16 - P/5431/2021</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(arrêt du Tribunal fédéral 1B_654/2011 du 7 décembre 2011 consid. 4.2).</w:t>
      </w:r>
    </w:p>
    <w:p>
      <w:r>
        <w:rPr>
          <w:b/>
        </w:rPr>
        <w:t>E. 6.2</w:t>
      </w:r>
    </w:p>
    <w:p>
      <w:r>
        <w:t>À teneur de l'art. 238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p. 187, citant l'arrêt CourEDH Neumeister c. Autriche du 27 juin 1968, Série A, vol. 7, par. 14; cf. arrêt 1P_165/2006 du 19 avril 2006 consid. 3.2.1, publié in SJ 2006 I p. 395). Si la caution doit être fournie par un tiers, il y a lieu de prendre en considération les relations personnelles et financières du prévenu avec cette personne (arrêt 1P_690/2004 du 14 décembre 2004 consid. 2.4.3 et les références).</w:t>
      </w:r>
    </w:p>
    <w:p>
      <w:r>
        <w:rPr>
          <w:b/>
        </w:rPr>
        <w:t>E. 6.3</w:t>
      </w:r>
    </w:p>
    <w:p>
      <w:r>
        <w:t>En l'espèce, le risque de fuite est d'une intensité telle que ni le dépôt des pièces d'identité ni l'obligation de présentation à un poste de police, pas plus que le port d'un bracelet électronique, ne seraient aptes à empêcher la fuite dans un autre pays par voie terrestre, au vu de l'exiguïté du territoire. Ces mesures ne permettraient que de la constater. Le versement de sûretés pourrait en revanche détourner le recourant d'un projet de fuite. Il y aurait toutefois lieu, dans cette perspective, d'examiner de manière plus approfondie les relations personnelles et financières du recourant avec son père, afin de déterminer la force dissuasive de la caution proposée, étant relevé que la somme de CHF 20'000.- alléguée paraît bien dérisoire, tant au regard de la gravité des charges pesant sur le recourant que des moyens financiers manifestes de son père, avocat en Angleterre. Quoi qu'il en soit, aucune mesure autre que la détention n'est apte à pallier le risque important de collusion avec les clients non encore entendus, en particulier pas</w:t>
      </w:r>
    </w:p>
    <w:p>
      <w:r>
        <w:t>- 14/16 - P/5431/2021 l'interdiction de contact suggérée par le recourant, de sorte que l'ordonnance querellée n'est pas critiquable sur ce point.</w:t>
      </w:r>
    </w:p>
    <w:p>
      <w:r>
        <w:rPr>
          <w:b/>
        </w:rPr>
        <w:t>E. 7</w:t>
      </w:r>
    </w:p>
    <w:p>
      <w:r>
        <w:t>Le recourant invoque une violation du principe de la proportionnalité.</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7.2</w:t>
      </w:r>
    </w:p>
    <w:p>
      <w:r>
        <w:t>En l'espèce, il convient d'examiner si la durée de la détention provisoire ordonnée – trois mois – est proportionnée aux actes d'instruction envisagés par le Ministère public. En l'occurrence, la confrontation des prévenus, annoncée pour le 20 décembre 2021, a eu lieu. Le rapport de la comparaison de l'ADN du recourant avec les traces recueillies sur les sachets de drogue saisis chez son co-prévenu, ordonnée en novembre 2021, ne saurait tarder, et il y aura lieu de le confronter aux résultats obtenus. À teneur du dossier remis à la Chambre de céans, la seule CRI adressée aux Pays- Bas concerne l'obtention du casier judiciaire de C______, acte d'instruction dont l'obtention du résultat ne saurait justifier le maintien en détention du recourant – même si l'on peine à comprendre pourquoi une telle démarche n'a pas été entreprise pour le recourant également, puisqu'il résulte du dossier qu'il aurait été condamné dans ce pays –. Le Ministère public, tout en retenant un risque de collusion "jusqu'à l'audience de jugement" avec les clients auxquels le recourant a donné les coordonnées de C______, ainsi qu'avec le dénommé "D______", n'annonce aucun acte d'instruction à leur égard et le dossier est muet sur ce point. L'audition des premiers a été retenue par le TMC pour fonder un risque de collusion, mais le Ministère public ne l'a pas confirmée dans ses observations au recours, dans lesquelles il se borne à exposer que l'instruction "n'est pas terminée", sans autre précision. Il s'ensuit qu'à teneur des actes d'instruction envisagés par le Ministère public, la prolongation de la détention provisoire pour une durée de trois mois paraît excessive, de sorte qu'elle sera ramenée à deux mois, soit au 23 février 2022, à charge pour</w:t>
      </w:r>
    </w:p>
    <w:p>
      <w:r>
        <w:t>- 15/16 - P/5431/2021 l'autorité, après avoir entendu le recourant sur le résultat des comparaisons ADN et sur ses déclarations écrites annexées au procès-verbal d'audition du 2 novembre 2021 – sur le contenu desquelles il ne paraît pas avoir été interrogé –, de se déterminer sur la suite de l'instruction.</w:t>
      </w:r>
    </w:p>
    <w:p>
      <w:r>
        <w:rPr>
          <w:b/>
        </w:rPr>
        <w:t>E. 8</w:t>
      </w:r>
    </w:p>
    <w:p>
      <w:r>
        <w:t>Le recours sera ainsi partiellement admis. Partant, l'ordonnance querellée sera annulée en ce qu'elle a fixé la prolongation de la détention au 23 mars 2022, celle-ci étant ramenée au 23 février 2022.</w:t>
      </w:r>
    </w:p>
    <w:p>
      <w:r>
        <w:rPr>
          <w:b/>
        </w:rPr>
        <w:t>E. 9</w:t>
      </w:r>
    </w:p>
    <w:p>
      <w:r>
        <w:t>En tant que le recourant obtient partiellement gain de cause, les frais de l'instance seront laissés à la charge de l'État.</w:t>
      </w:r>
    </w:p>
    <w:p>
      <w:r>
        <w:rPr>
          <w:b/>
        </w:rPr>
        <w:t>E. 10</w:t>
      </w:r>
    </w:p>
    <w:p>
      <w:r>
        <w:t>Le recourant plaide bénéfice d'une défense d'office.</w:t>
      </w:r>
    </w:p>
    <w:p>
      <w:r>
        <w:rPr>
          <w:b/>
        </w:rPr>
        <w:t>E. 10.1</w:t>
      </w:r>
    </w:p>
    <w:p>
      <w:r>
        <w:t>La désignation d'un conseil d'office pour la procédure pénale principale n'est pas un blanc-seing pour introduire des recours aux frais de l'État, notamment contre des décisions de détention provisoire (arrêt du Tribunal fédéral 1B_516/2020 précité consid.</w:t>
      </w:r>
    </w:p>
    <w:p>
      <w:r>
        <w:rPr>
          <w:b/>
        </w:rPr>
        <w:t>E. 10.2</w:t>
      </w:r>
    </w:p>
    <w:p>
      <w:r>
        <w:t>En l'espèce, au vu de l'issue du recours, l'assistance juridique sera accordée pour le recours, et l'indemnité sera fixée à la fin de la procédure (art. 135 al. 2 CPP). * * * * *</w:t>
      </w:r>
    </w:p>
    <w:p>
      <w:r>
        <w:t>- 16/16 - P/5431/2021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