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ACPR/28/2021 vom 21. Dezember 2020</w:t>
      </w:r>
    </w:p>
    <w:p>
      <w:r>
        <w:t>GE Cour de justice, 2020-12-21, FR</w:t>
      </w:r>
    </w:p>
    <w:p>
      <w:r>
        <w:rPr>
          <w:b/>
        </w:rPr>
        <w:t xml:space="preserve">Quelle: </w:t>
      </w:r>
      <w:r>
        <w:t>https://mcp.opencaselaw.ch/entscheid/ge_gerichte_ACPR_28_2021</w:t>
      </w:r>
    </w:p>
    <w:p>
      <w:r>
        <w:t>FR: GE_GERICHTE ACPR/28/2021 du 21 décembre 2020</w:t>
      </w:r>
    </w:p>
    <w:p>
      <w:r>
        <w:t>IT: GE_GERICHTE ACPR/28/2021 del 21 dicembre 2020</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 C. PERRIER DEPEURSINGE (éds), Commentaire romand : Code de procédure pénale suisse, 2ème éd., Bâle 2019, n. 30 ad art. 363).</w:t>
      </w:r>
    </w:p>
    <w:p>
      <w:r>
        <w:t>- 5/8 - PM/1338/2020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la forme et le délai prescrits (art. 385 al. 1, 390 al. 1 et 396 al. 1 CPP),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constitue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p. 203 et les références citées). Il y a également lieu de rechercher si la libération conditionnelle, éventuellement assortie de règles de conduite et d'un patronage, ne favoriserait pas mieux la resocialisation</w:t>
      </w:r>
    </w:p>
    <w:p>
      <w:r>
        <w:t>- 6/8 - PM/1338/2020 de l'auteur que l'exécution complète de la peine (ATF 124 IV 193 consid. 4d/aa/bb p. 198 ss).</w:t>
      </w:r>
    </w:p>
    <w:p>
      <w:r>
        <w:rPr>
          <w:b/>
        </w:rPr>
        <w:t>E. 3.2</w:t>
      </w:r>
    </w:p>
    <w:p>
      <w:r>
        <w:t>En l'espèce, la condition objective d'une libération conditionnelle est, certes, réalisée depuis le 28 décembre 2020. Le recourant ne bénéficie cependant pas de préavis positif, hormis celui de l'établissement pénitentiaire. Ce dernier, seul, ne suffit toutefois pas. Le recourant a déjà été condamné à neuf reprises, pour des infractions analogues. Il a déjà bénéficié de deux libérations conditionnelles et a récidivé à chaque fois dans le délai d'épreuve. Ce tableau rend le risque de réitération important, les condamnations ne se limitant pas à des infractions à la LStup, mais également à la LCR et à l'intégrité corporelle, qui ne sont pas à minimiser en termes de sécurité publique. Le risque de réitération est d’autant plus important que les projets d'avenir du recourant sont flous. Il ne fournit aucune précision fiable et concrète s’agissant des perspectives professionnelles alléguées. C'est ainsi à bon droit que le TAPEM a retenu que les conditions de l'art. 86 al. 1 CP ne sont pas réalisées, le pronostic étant défavorable quant au risque de récidive.</w:t>
      </w:r>
    </w:p>
    <w:p>
      <w:r>
        <w:rPr>
          <w:b/>
        </w:rPr>
        <w:t>E. 4</w:t>
      </w:r>
    </w:p>
    <w:p>
      <w:r>
        <w:t>Justifié, le jugement querellé sera donc confirmé.</w:t>
      </w:r>
    </w:p>
    <w:p>
      <w:r>
        <w:rPr>
          <w:b/>
        </w:rPr>
        <w:t>E. 5</w:t>
      </w:r>
    </w:p>
    <w:p>
      <w:r>
        <w:t>Le recourant, qui succombe, supportera les frais envers l'État, qui seront fixés en totalité à CHF 600.- (art. 428 al. 1 CPP et 13 al. 1 du Règlement fixant le tarif des frais en matière pénale, RTFMP ; E 4 10.03).</w:t>
      </w:r>
    </w:p>
    <w:p>
      <w:r>
        <w:t>* * * * *</w:t>
      </w:r>
    </w:p>
    <w:p>
      <w:r>
        <w:t>- 7/8 - PM/1338/2020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