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ACPR/286/2026 vom 18. März 2026</w:t>
      </w:r>
    </w:p>
    <w:p>
      <w:r>
        <w:t>GE Cour de justice, 2026-03-18, FR</w:t>
      </w:r>
    </w:p>
    <w:p>
      <w:r>
        <w:rPr>
          <w:b/>
        </w:rPr>
        <w:t xml:space="preserve">Quelle: </w:t>
      </w:r>
      <w:r>
        <w:t>https://mcp.opencaselaw.ch/entscheid/ge_gerichte_ACPR_286_2026</w:t>
      </w:r>
    </w:p>
    <w:p>
      <w:r>
        <w:t>FR: GE_GERICHTE ACPR/286/2026 du 18 mars 2026</w:t>
      </w:r>
    </w:p>
    <w:p>
      <w:r>
        <w:t>IT: GE_GERICHTE ACPR/286/2026 del 18 marzo 2026</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t>- 4/9 - P/2972/2026</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d’ADN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7B_529/2025 du 26 janvier 2026, consid. 3.1.3; 1B_259/2022 précité consid. 4.3; 1B_230/2022 du 7 septembre 2022 consid. 2.2).</w:t>
      </w:r>
    </w:p>
    <w:p>
      <w:r>
        <w:rPr>
          <w:b/>
        </w:rPr>
        <w:t>E. 2.4</w:t>
      </w:r>
    </w:p>
    <w:p>
      <w:r>
        <w:t>Selon l’art. 17 al. 1 de la loi sur les profils d’ADN [RS 363], dans les cas visés à l’art. 16 al. 2 let. a à f et h et al. 6 de cette loi, le profil d’ADN peut, avec l’autorisation de l’autorité de jugement compétente, être conservé 10 ans de plus au maximum après l’expiration du délai d’effacement s’il subsiste un soupçon concret relatif à un crime ou à un délit non prescrit ou s’il y a lieu de craindre une récidive. Selon le Message du Conseil fédéral, l’autorité qui a ordonné la mesure ne doit pouvoir refuser son assentiment à l’effacement que si des indices concrets permettent de conclure que le profil d’ADN sera utilisé. Toutefois, on ne peut poser d’exigences trop élevées pour ce qui [est] de la présomption qui subsisterait ou du danger de récidive. Les motifs peuvent avoir leur origine dans la nature du délit (p. ex., un délit sexuel</w:t>
      </w:r>
    </w:p>
    <w:p>
      <w:r>
        <w:t>- 5/9 - P/2972/2026 grave ou répété) ou dans le passé de l’intéressé (nombreux antécédents judiciaires et récidives) (cf. Message relatif à la loi fédérale sur l’utilisation de profils d’ADN dans le cadre d’une procédure pénale et sur l’identification de personnes inconnues ou disparues, FF 2001 19ss, 45).</w:t>
      </w:r>
    </w:p>
    <w:p>
      <w:r>
        <w:rPr>
          <w:b/>
        </w:rPr>
        <w:t>E. 2.5</w:t>
      </w:r>
    </w:p>
    <w:p>
      <w:r>
        <w:t>En l’espèce, l’établissement du profil d’ADN du recourant a été ordonné pour élucider, non pas les infractions en cours d’instruction, mais d’autres actes constitutifs de délit à la LStup, dès lors qu’il avait déjà été condamné pour des faits similaires. Le recourant ne prétend, à juste titre, pas que les conditions de l’art. 255 al. 1bis CPP ne seraient pas réalisées. Le recourant a en effet été condamné, le 29 août 2025, pour délit contre la LStup. La procédure en cours porte à nouveau sur un délit à la LStup, ainsi qu’une contravention à la même loi et une infraction à l’art. 115 al . 1 let. a LEI. Dans le cadre de cette nouvelle procédure, le recourant a été observé par la police procéder à un échange drogue / argent et l’acheteur a affirmé lui avoir acheté de la résine de cannabis, pour la somme de CHF 20.-. Bien qu’ayant commencé par contester les faits, le recourant a finalement admis avoir procédé à une remise de cannabis, contre de l’argent, échange qui, a priori, tombe sous le coup de l’art. 19 al. 1 LStup. Lors de la fouille du recourant, les policiers ont retrouvé un sachet contenant de la résine de cannabis conditionnée pour la vente, dans un sachet identique à celui retrouvé sur l’acheteur, ainsi qu’une somme d’argent en petites coupures. Ces éléments, bien que le recourant affirme – sans le démontrer – travailler en France pour un revenu de EUR 1'500.- par mois et ait bénéficié jusqu’à récemment d’un titre de séjour dans ce pays, laissent très sérieusement craindre un ancrage dans la délinquance liée aux stupéfiants et permettent de penser que l'intéressé pourrait être impliqué dans d'autres infractions à la LStup encore inconnues des autorités, lesquelles pourraient lui être attribuées si l'on était en mesure de comparer son profil d'ADN à des traces prélevées sur les lieux de leur commission. Cette situation n'est pas comparable à celle que le Tribunal fédéral a été amené à trancher récemment (arrêt 7B_529/2026 du 26 janvier 2026) pour plusieurs raisons. Dans l'affaire en question, l'intéressé n'avait aucune condamnation pour infraction à l'art. 19 al. 1 LStup inscrite à son casier judiciaire, contrairement au recourant. De plus, ici, la présence du recourant dans un quartier notoirement connu pour le trafic de stupéfiants est de nature à interpeller, ce d'autant qu’il a été observé par les policiers en train de procéder à un échange drogue / argent avec un autre individu, lequel a immédiatement reconnu la transaction. À cela s’ajoute l’argent retrouvé sur lui en petites coupures, qui renforce le soupçon qu’il pourrait s’adonner à un trafic de stupéfiants. Enfin, les infractions à la LStup susceptibles d'être élucidées revêtent une certaine gravité eu égard à la santé publique. Il s'agit d'ailleurs d'un des cas expressément listés</w:t>
      </w:r>
    </w:p>
    <w:p>
      <w:r>
        <w:t>- 6/9 - P/2972/2026 par la Directive A.5 du Procureur général (cf. n. 4.3) qui, bien que n'ayant pas force de loi, est fondée sur l'art. 255 al. 1bis CPP, lequel autorise l'établissement d'un profil d'ADN pour les infractions passées. Le recourant soutient qu'ordonner un nouvel établissement de son profil d'ADN alors qu'un tel profil, immuable, avait déjà été établi par le passé, serait arbitraire. La Chambre de céans est toutefois d'avis [cf. notamment, ACPR/400/2025 du 23 mai 2025 consid. 2.3] que dans la mesure où les profils d'ADN sont soumis à effacement après un certain délai [cf. art. 16 de la loi sur les profils d'ADN; RS 363], il existe un intérêt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notamment, les soupçons de la commission de nouvelles infractions non encore élucidées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 que dans dix ou vingt ans. Le recourant soutient que le nouvel établissement de son profil d’ADN rendrait "lettre morte" l’art. 17 de la loi sur les profils d’ADN. La Chambre de céans ne partage toutefois pas cette opinion. Cette disposition prévoit la possibilité de prolonger la durée de conservation d’un profil d’ADN lorsque le condamné présente un risque de récidive, c’est-à-dire dans les cas où l’intéressé, après avoir été condamné, n’a pas récidivé mais présente des caractéristiques faisant craindre une réitération. Or, dans le cas d’espèce, le Ministère public a ordonné le nouvel établissement du profil d’ADN du recourant dans la mesure où il était à nouveau soupçonné d’avoir commis de nouvelles infractions pour lesquelles l’établissement d’un profil d’ADN était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w:t>
      </w:r>
    </w:p>
    <w:p>
      <w:r>
        <w:t>- 7/9 - P/2972/2026 Le recourant invoque encore que les frais de ce nouvel établissement de son profil d'ADN seraient mis à sa charge et à celle du contribuable genevois. Il n'a toutefois pas été condamné à en supporter le coût, de tels frais n'ayant pas été mis à sa charge à ce stade de la procédure.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 Enfin, si le délai d'effacement du profil d'ADN est censé être mentionné dans l'ordonnance pénale (ou le jugement) faisant suite à cette mesure, selon l'art. 353 al. 1 let. fbis CPP, cette ordonnance, du 4 février 2026, n'est pas l'objet du recours. Par ailleurs, le recourant y a formé opposition. Or, selon l'issue de la procédure, l'intérêt public à disposer du profil d'ADN de l'intéressé ne sera pas le même, de sorte qu'il appartient au juge du fond de trancher cette question. Il s'ensuit que l'ordonnance querellée ne prête pas le flanc à la critique, les réquisits pour le prononcé de l'établissement du profil d'ADN du recourant étant réunis.</w:t>
      </w:r>
    </w:p>
    <w:p>
      <w:r>
        <w:rPr>
          <w:b/>
        </w:rPr>
        <w:t>E. 3</w:t>
      </w:r>
    </w:p>
    <w:p>
      <w:r>
        <w:t>Justifiée, l'ordonnance querellée sera donc confirmée.</w:t>
      </w:r>
    </w:p>
    <w:p>
      <w:r>
        <w:rPr>
          <w:b/>
        </w:rPr>
        <w:t>E. 4</w:t>
      </w:r>
    </w:p>
    <w:p>
      <w:r>
        <w:t>Le recourant, qui succombe, supportera les frais envers l'État, fixés en totalité à CHF 600.- (art. 428 al. 1 CPP et 13 al. 1 du Règlement fixant le tarif des frais en matière pénale, RTFMP ; E 4 10.03).</w:t>
      </w:r>
    </w:p>
    <w:p>
      <w:r>
        <w:rPr>
          <w:b/>
        </w:rPr>
        <w:t>E. 5</w:t>
      </w:r>
    </w:p>
    <w:p>
      <w:r>
        <w:t>Corrélativement, aucun dépens ne lui sera alloué (ATF 144 IV 207, consid. 1.8.2). * * * * *</w:t>
      </w:r>
    </w:p>
    <w:p>
      <w:r>
        <w:t>- 8/9 - P/2972/2026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