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ACPR/286/2025 vom 18. September 2024</w:t>
      </w:r>
    </w:p>
    <w:p>
      <w:r>
        <w:t>GE Cour de justice, 2024-09-18, FR</w:t>
      </w:r>
    </w:p>
    <w:p>
      <w:r>
        <w:rPr>
          <w:b/>
        </w:rPr>
        <w:t xml:space="preserve">Quelle: </w:t>
      </w:r>
      <w:r>
        <w:t>https://mcp.opencaselaw.ch/entscheid/ge_gerichte_ACPR_286_2025</w:t>
      </w:r>
    </w:p>
    <w:p>
      <w:r>
        <w:t>FR: GE_GERICHTE ACPR/286/2025 du 18 septembre 2024</w:t>
      </w:r>
    </w:p>
    <w:p>
      <w:r>
        <w:t>IT: GE_GERICHTE ACPR/286/2025 del 18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violé son droit d'être entendu.</w:t>
      </w:r>
    </w:p>
    <w:p>
      <w:r>
        <w:rPr>
          <w:b/>
        </w:rPr>
        <w:t>E. 3.1</w:t>
      </w:r>
    </w:p>
    <w:p>
      <w:r>
        <w:t>Le droit d'être entendu, tel qu'il est garanti à l'art. 29 al. 2 Cst., comprend notamment le droit pour le justiciable de s'expliquer avant qu'une décision ne soit prise</w:t>
      </w:r>
    </w:p>
    <w:p>
      <w:r>
        <w:t>- 5/10 - P/6541/2024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 La garantie du droit d'être entendu impose également à l’autorité de motiver ses décisions, afin que les parties puissent les comprendre et apprécier l'opportunité de les attaquer, et que les autorités de recours soient en mesure d'exercer leur contrôle (ATF 141 III 28 consid. 3.2.4; 136 I 229 consid. 5.2; 135 I 265 consid. 4.3). L'autorité n'a cependant pas l'obligation d'exposer et de discuter tous les faits, moyens de preuve et griefs invoqués par les parties, mais peut se limiter à ceux qui lui paraissent pertinents. La motivation peut être implicite et résulter des différents considérants de la décision (ATF 143 III 65 consid. 5.3; 142 I 135 consid. 2.1; 141 III 28 consid. 3.2.4; 139 IV 179 consid. 2.2; arrêt du Tribunal fédéral 6B_226/2019 du 29 mars 2019 consid. 2.1). Il suffit que l'autorité mentionne, au moins brièvement, les motifs qui l'ont guidée et sur lesquels elle a fondé sa décision, de manière à ce que l'intéressé puisse se rendre compte de la portée de celle-ci et l'attaquer en connaissance de cause (ATF 143 IV 40 consid. 3.4.3).</w:t>
      </w:r>
    </w:p>
    <w:p>
      <w:r>
        <w:rPr>
          <w:b/>
        </w:rPr>
        <w:t>E. 3.2</w:t>
      </w:r>
    </w:p>
    <w:p>
      <w:r>
        <w:t>En l'espèce, le recourant n'explique nullement en quoi son droit d'être entendu aurait été violé. En effet, il a été invité par le Ministère public à se déterminer sur la plainte et à présenter – à la suite de l'avis de prochaine clôture – ses réquisitions d'indemnisation, ce qu'il a fait. Rien ne permet non plus de retenir un défaut de motivation. Il ressort au contraire de son écriture que le recourant a parfaitement compris la décision attaquée. Le grief sera dès lors rejeté.</w:t>
      </w:r>
    </w:p>
    <w:p>
      <w:r>
        <w:rPr>
          <w:b/>
        </w:rPr>
        <w:t>E. 4</w:t>
      </w:r>
    </w:p>
    <w:p>
      <w:r>
        <w:t>Le recourant critique le refus du Ministère public de lui allouer une indemnité.</w:t>
      </w:r>
    </w:p>
    <w:p>
      <w:r>
        <w:rPr>
          <w:b/>
        </w:rPr>
        <w:t>E. 4.1</w:t>
      </w:r>
    </w:p>
    <w:p>
      <w:r>
        <w:t>Selon l'art. 429 al. 1 CPP, le prévenu bénéficiant d'une ordonnance de classement a droit à une indemnité pour les dépenses occasionnées par l'exercice raisonnable de ses droits de procédure (let. a), pour le dommage économique subi au titre de sa participation obligatoire à la procédure pénale (let. b) et à une réparation du tort moral subi en raison d'une atteinte particulièrement grave à sa personnalité, notamment en cas de privation de liberté (let. c). 4.2.1. L'indemnité de l'art.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p. 46 s.).</w:t>
      </w:r>
    </w:p>
    <w:p>
      <w:r>
        <w:t>- 6/10 - P/6541/2024 Le CPP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circonstances particulières le justifient. De telles circonstances existent si l'affaire est particulièrement complexe et le montant du litige élevé (a), que la défense des intérêts exige un travail important qui dépasse le cadre de ce que l'individu doit habituellement et raisonnablement faire à côté pour s'occuper de ses affaires personnelles (b), et que ses démarches personnelles ont contribué raisonnablement à son succès (c) (arrêts du Tribunal fédéral 6B_1171/2020 du 15 janvier 2021 consid. 5.4 et 6B_1125/2016 du 20 mars 2017 consid. 2.2). 4.2.2. L'art.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L'évaluation du dommage économique se fait en application des règles générales en matière de responsabilité civile (art. 41 ss CO; ATF 142 IV 163). Il appartient au lésé de prouver non seulement l'existence et l'étendue du dommage, mais aussi le lien de causalité entre celui-ci et l'évènement à la base de son action (arrêt du Tribunal fédéral 6B_1026/2013 du 10 juin 2014 consid. 3.1). 4.2.3.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arrêts du Tribunal fédéral 6B_740/2016 du 2 juin 2017 consid. 3.2; 6B_928/2014 du 10 mars 2016 consid. 5.1).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w:t>
      </w:r>
    </w:p>
    <w:p>
      <w:r>
        <w:t>- 7/10 - P/6541/2024 pénale comme la charge psychique que celle-ci est censée entraîner normalement chez une personne mise en cause (ATF 143 IV 339 consid. 3.1; arrêts du Tribunal fédéral 6B_740/2016 du 2 juin 2017 consid. 3.2; 6B_671/2016 du 17 mai 2017 consid. 2.1; 6B_118/2016 du 20 mars 2017 consid. 6.1; 6B_928/2014 du 10 mars 2016 consid. 5.1 non publié in ATF 142 IV 163).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(arrêt du Tribunal fédéral 6B_928/2014 précité ; ATF 130 III 699 consid. 5.1).</w:t>
      </w:r>
    </w:p>
    <w:p>
      <w:r>
        <w:rPr>
          <w:b/>
        </w:rPr>
        <w:t>E. 4.3</w:t>
      </w:r>
    </w:p>
    <w:p>
      <w:r>
        <w:t>En l'espèce, le recourant reproche en premier lieu au Ministère public de ne pas lui avoir accordé d'indemnité pour tort moral. Or, il se contente d'alléguer que la procédure aurait eu des conséquences sur son état physique et psychique, sans toutefois apporter de preuve – à l'instar d'un document médical – qui permettrait de démontrer l'existence d'une quelconque atteinte liée à la procédure pénale, comme il était tenu de le faire. Quoi qu'il en soit, il n'apparaît pas que la procédure ouverte à son encontre ait causé une atteinte particulièrement grave à sa personnalité. En effet, le recourant – qui n'a été entendu qu'à une reprise par le Ministère public – n'a pas fait l'objet de mesures de contrainte – ni d'une médiatisation – et la procédure s'est déroulée dans un temps limité (quelques mois). Partant, il ne remplit pas les conditions de l'art. 429 al. 1 let. c CPP. Ensuite, le recourant se prévaut du temps qu'il a consacré (plus de 260 heures) à sa propre défense. Force est toutefois de constater que les conditions permettant exceptionnellement d'accorder une indemnisation aux personnes non représentées par des avocats (art. 429 al. 1 let. a CPP) ne sont pas remplies. En effet, la cause ne présentait pas de difficultés particulières du point de vue de l'établissement des faits ou des questions juridiques soulevées qui justifieraient un volume de travail de l'ampleur décrite par le recourant. On ne voit en tout état pas en quoi la défense de ses intérêts aurait exigé un travail important, dans la mesure où le recourant a, en substance, invoqué, dès sa première prise de position, s'être basé sur le chiffre d'affaires de l'année 2018, en l'absence – au moment de la conclusion de l'accord du 26 mars 2020 – des bilans de son entreprise pour l'année 2019. Enfin, en se limitant à mentionner que pendant qu'il préparait sa défense, il ne pouvait pas exercer son activité de conseiller immobilier, le recourant n'établit pas l'existence d'un préjudice – par exemple une perte commerciale – lié à la procédure pénale.</w:t>
      </w:r>
    </w:p>
    <w:p>
      <w:r>
        <w:t>- 8/10 - P/6541/2024 S'agissant de l'"expertise comptable externe", il ne produit pas non plus des pièces – à l'instar de factures – permettant de démontrer un éventuel préjudice. Aucune indemnité ne lui est dès lors due en vertu de l'art. 429 al. 1 let. b CPP.</w:t>
      </w:r>
    </w:p>
    <w:p>
      <w:r>
        <w:rPr>
          <w:b/>
        </w:rPr>
        <w:t>E. 5</w:t>
      </w:r>
    </w:p>
    <w:p>
      <w:r>
        <w:t>Justifiée, l'ordonnance querellée sera donc confirmée.</w:t>
      </w:r>
    </w:p>
    <w:p>
      <w:r>
        <w:rPr>
          <w:b/>
        </w:rPr>
        <w:t>E. 6</w:t>
      </w:r>
    </w:p>
    <w:p>
      <w:r>
        <w:t>Le recourant, qui succombe, supportera les frais envers l'État, fixés en totalité à CHF 800.- (art. 428 al. 1 CPP et 13 al. 1 du règlement fixant le tarif de frais en matière pénale). * * * * *</w:t>
      </w:r>
    </w:p>
    <w:p>
      <w:r>
        <w:t>- 9/10 - P/6541/2024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