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ACPR/286/2022 vom 28. April 2022</w:t>
      </w:r>
    </w:p>
    <w:p>
      <w:r>
        <w:t>GE Cour de justice, 2022-04-28, FR</w:t>
      </w:r>
    </w:p>
    <w:p>
      <w:r>
        <w:rPr>
          <w:b/>
        </w:rPr>
        <w:t xml:space="preserve">Quelle: </w:t>
      </w:r>
      <w:r>
        <w:t>https://mcp.opencaselaw.ch/entscheid/ge_gerichte_ACPR_286_2022</w:t>
      </w:r>
    </w:p>
    <w:p>
      <w:r>
        <w:t>FR: GE_GERICHTE ACPR/286/2022 du 28 avril 2022</w:t>
      </w:r>
    </w:p>
    <w:p>
      <w:r>
        <w:t>IT: GE_GERICHTE ACPR/286/2022 del 28 aprile 2022</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observées (art. 85 al. 2 CPP)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w:t>
      </w:r>
    </w:p>
    <w:p>
      <w:r>
        <w:t>- 5/7 - P/3227/2022 privative de liberté de plus de quatre mois ou d'une peine pécuniaire de plus de 120 jours-amende (art. 132 al. 3 CPP).</w:t>
      </w:r>
    </w:p>
    <w:p>
      <w:r>
        <w:rPr>
          <w:b/>
        </w:rPr>
        <w:t>E. 3.2</w:t>
      </w:r>
    </w:p>
    <w:p>
      <w:r>
        <w:t>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3.4</w:t>
      </w:r>
    </w:p>
    <w:p>
      <w:r>
        <w:t>En l'espèce, la question de l'indigence du recourant, non examinée par le Ministère public dans l'ordonnance querellée, peut rester indécise, au vu des considérations qui suivent. Le recourant ne revient d'aucune manière sur la question de la gravité de la peine encourue ni ne plaide qu'elle pourrait dépasser les limites de ce que l'on peut encore qualifier de cas de peu de gravité au sens de l'art. 132 al. 3 CPP. Quoi qu'il en soit, on peut se dispenser d'examiner plus avant cette condition, dans la mesure où la seconde condition – cumulative – de l'art. 132 al. 2 CPP n'est pas réunie. En effet, l'affaire ne revêt pas de difficultés, de fait ou juridiques, propres à justifier l'intervention d'un avocat. Il ressort de la procédure que les dispositions légales applicables sont clairement circonscrites et ne présentent aucune difficulté de compréhension pour le recourant, qui maîtrise la langue française et qui a déjà été condamné à plusieurs reprises pour une violation des art. 19 al. 1 let. c et d et 19a LStup, de sorte qu'il n'ignore pas les conditions de réalisation de ces infractions. D'ailleurs, il a parfaitement compris ce qui lui était reproché, a reconnu une partie des faits et exposé – pour le surplus – que la majorité des substances illicites retrouvées en sa possession étaient destinées à sa consommation personnelle. En</w:t>
      </w:r>
    </w:p>
    <w:p>
      <w:r>
        <w:t>- 6/7 - P/3227/2022 outre, on ne saurait admettre que la simple contestation d'une partie des faits reprochés soit automatiquement synonyme de difficultés. Le recourant a été tout-à-fait capable d'expliquer la provenance de l'importante somme d'argent dont il était en possession lors de son interpellation, afin qu'elle ne fasse pas l'objet d'une saisie. En outre, le certificat médical produit – établi dans un contexte d'incarcération il y a plus de deux ans – ne permet pas d'établir que le recourant souffrirait toujours d'une quelconque addiction de nature à altérer ses capacités à se défendre correctement, ce que l'attestation ne dit pas non plus. En l'occurrence, le fait de solliciter l'audition de D______ ne rend pas la cause plus complexe et ne nécessite à l'évidence pas l'assistance d'un conseil. De surcroît, aucune difficulté en lien avec une offre éventuelle de preuve complexe n'apparaît attendue au vu des faits de la cause. Partant, la condition de la complexité de la procédure n'étant pas réalisée, l'art 132 al. 2 CPP ne trouve pas application.</w:t>
      </w:r>
    </w:p>
    <w:p>
      <w:r>
        <w:rPr>
          <w:b/>
        </w:rPr>
        <w:t>E. 4</w:t>
      </w:r>
    </w:p>
    <w:p>
      <w:r>
        <w:t>Justifiée, l'ordonnance querellée sera donc confirmée.</w:t>
      </w:r>
    </w:p>
    <w:p>
      <w:r>
        <w:rPr>
          <w:b/>
        </w:rPr>
        <w:t>E. 5</w:t>
      </w:r>
    </w:p>
    <w:p>
      <w:r>
        <w:t>La décision de refus de l'assistance judiciaire sera rendue sans frais (art. 20 du Règlement sur l'assistance juridique [E 2 05.04 ; RAJ]) ; arrêt du Tribunal fédéral 6B_215/2018 du 14 juin 2018 consid. 1.2.). * * * * *</w:t>
      </w:r>
    </w:p>
    <w:p>
      <w:r>
        <w:t>- 7/7 - P/3227/2022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