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ACPR/283/2025 vom 18. März 2025</w:t>
      </w:r>
    </w:p>
    <w:p>
      <w:r>
        <w:t>GE Cour de justice, 2025-03-18, FR</w:t>
      </w:r>
    </w:p>
    <w:p>
      <w:r>
        <w:rPr>
          <w:b/>
        </w:rPr>
        <w:t xml:space="preserve">Quelle: </w:t>
      </w:r>
      <w:r>
        <w:t>https://mcp.opencaselaw.ch/entscheid/ge_gerichte_ACPR_283_2025</w:t>
      </w:r>
    </w:p>
    <w:p>
      <w:r>
        <w:t>FR: GE_GERICHTE ACPR/283/2025 du 18 mars 2025</w:t>
      </w:r>
    </w:p>
    <w:p>
      <w:r>
        <w:t>IT: GE_GERICHTE ACPR/283/2025 del 18 marzo 2025</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Code de procédure pénale suisse (CPP) et la loi d'application du Code pénal suisse et d'autres lois fédérales en matière pénale du 27 août 2009 (LaCP ; RS E 4 10) lui attribuent. En vertu de la délégation figurant à l'art. 439 CPP, le législateur genevois a attribué à la Chambre pénale de recours la compétence de statuer sur les recours dirigés contre les décisions rendues par le Département des institutions et du numérique (DIN), ses offices et ses services (art. 42 al. 1 let. a LaCP). Les procédures de recours sont notamment régies par les art. 379 à 409 CPP (art. 42 al. 3 LaCP).</w:t>
      </w:r>
    </w:p>
    <w:p>
      <w:r>
        <w:rPr>
          <w:b/>
        </w:rPr>
        <w:t>E. 1.2</w:t>
      </w:r>
    </w:p>
    <w:p>
      <w:r>
        <w:t>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ACPR/679/2023 du 30 août 2023 consid. 3.1).</w:t>
      </w:r>
    </w:p>
    <w:p>
      <w:r>
        <w:rPr>
          <w:b/>
        </w:rPr>
        <w:t>E. 1.3</w:t>
      </w:r>
    </w:p>
    <w:p>
      <w:r>
        <w:t>En l'espèce, le recours est recevable pour être dirigé contre une décision rendue par le SRSP (art. 5 al. 2 let. l et 40 al. 1 LaCP ; art. 10 al. 1 let. i Règlement sur l'exécution des peines et mesures du 19 mars 2014 [REPM ; RS E 4 55.05]), avoir été déposé dans la forme et le délai prescrits (art. 385 al. 1 et 396 al. 1 CPP) et émaner du condamné visé par la décision déférée et qui a un intérêt juridiquement protégé à l'annulation de la décision entreprise (art. 382 al. 1 CPP).</w:t>
      </w:r>
    </w:p>
    <w:p>
      <w:r>
        <w:rPr>
          <w:b/>
        </w:rPr>
        <w:t>E. 2</w:t>
      </w:r>
    </w:p>
    <w:p>
      <w:r>
        <w:t>La Chambre pénale de recours peut décider d'emblée de traiter sans échange d'écritures ni débats les recours manifestement mal fondés (art. 390 al. 2 et 5 a contrario CPP).</w:t>
      </w:r>
    </w:p>
    <w:p>
      <w:r>
        <w:t>- 8/12 - PS/25/2025 Tel est le cas en l'occurrence, au vu des considérations qui suivent.</w:t>
      </w:r>
    </w:p>
    <w:p>
      <w:r>
        <w:rPr>
          <w:b/>
        </w:rPr>
        <w:t>E. 3</w:t>
      </w:r>
    </w:p>
    <w:p>
      <w:r>
        <w:t>Le recourant conteste l'exécution de la mesure thérapeutique institutionnelle ordonnée à son encontre en milieu fermé. 3.1.1. 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3.1.2. L'art. 59 al. 3 CP subordonne le traitement dans un établissement fermé à un risque de fuite ou de récidive.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7B_883/2023 du 4 mars 2024 consid. 2.2.3;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(arrêts du Tribunal fédéral 6B_1216/2018 du 16 janvier 2019 consid. 1.1; 6B_1243/2017 précité consid. 1.1; 6B 319/2017 du 28 septembre 2017 consid. 1.1).</w:t>
      </w:r>
    </w:p>
    <w:p>
      <w:r>
        <w:rPr>
          <w:b/>
        </w:rPr>
        <w:t>E. 3.2</w:t>
      </w:r>
    </w:p>
    <w:p>
      <w:r>
        <w:t>Le SRSP justifie le placement du recourant en milieu fermé en raison de l'existence des risques de récidive et de fuite. En l'occurrence, il est établi par l'expertise du 28 mars 2019 que le recourant présente une schizophrénie paranoïde, avec un risque moyen de récidive d'actes violents comprenant une atteinte à l'intégrité physique ou la vie.</w:t>
      </w:r>
    </w:p>
    <w:p>
      <w:r>
        <w:t>- 9/12 - PS/25/2025 Après une période au cours de laquelle le recourant a connu une évolution positive, la situation de A______ s'est fortement détériorée depuis le premier trimestre 2023. Malgré une acceptation ponctuelle de soins à quelques occasions, il a volontairement rompu le lien thérapeutique et refusé à de multiples reprises de poursuivre son traitement médicamenteux, guidé par un sentiment de méfiance croissant envers les services publics. Ce comportement a eu pour conséquence, outre une fragilité sociale marquée, le développement d'un sentiment de persécution et le renforcement d'idées délirantes, ces faits étant constatés par les différents intervenants. Le risque de récidive d'infractions s'en est dès lors trouvé considérablement accru, n'étant plus contenu notamment en raison de potentielles décompensations. Le parcours de vie du recourant en 2024 et 2025 démontre la dégradation de sa situation. La rupture de son suivi thérapeutique et de son traitement médicamenteux a entrainé des comportements agressifs de sa part qui ont conduit à sa mise en détention provisoire dès la mi-novembre 2024 pour menaces et injures. Dans les semaines qui ont suivi, il a fait l'objet de deux sanctions à la prison, notamment pour violence physique envers un détenu, puis a encore marqué son opposition, en février 2025, en refusant son déménagement dans l'aile EST de la prison, comportement qui a débouché sur une sanction. Malgré la privation de liberté dont il faisait l'objet, et l'intervention du SMP, il s'est montré en complète décompensation peu après la mi-décembre 2024, étant en incapacité de discernement selon un certificat médical, ce qui démontre l'absence de stabilisation de son état mental. Ces éléments fondent donc un risque de récidive qualifié. Le recourant rejette son placement en milieu fermé au bénéfice d'un placement en milieu ouvert à l'hôpital de C______ pour l'exécution de la mesure en soutenant prendre volontairement ses traitements et se rendre à ses suivis thérapeutiques. Il fait référence à des rapports de suivi psychiatrique favorables, sans aucunement établir leur existence. Cela étant, il y a lieu de souligner que l'expertise initiale relève que la stabilisation du trouble du recourant devrait intervenir sur des mois, voire des années. Or, alors même qu'il se trouve actuellement en milieu fermé à la prison, il appert que, bien que suivi médicalement selon ses dires, il persévère dans des comportements oppositionnels ou agressifs. Dans de telles circonstances, son placement en milieu ouvert, alors que son état n'est pas stabilisé, ne permet pas d'assurer une exécution sécurisée de la mesure, à laquelle il pourrait facilement se soustraire compte tenu des spécificités d'un tel milieu. Il apparaît au contraire indiqué qu'une prise en charge intensive sur le plan psychiatrique et médicamenteux, telle qu'offerte par l'établissement fermé de K______ lui permettrait, à une échéance à déterminer, de stabiliser son état mental, de réduire le risque de récidive et d'améliorer sa réinsertion, ainsi que cela s'est passé en 2019. Il est en effet essentiel que le recourant puisse démontrer son engagement dans le processus psychothérapeutique et la prise de son traitement ainsi qu'une stabilité de son état psychologique sur le long cours, avant de pouvoir accéder à un milieu ouvert.</w:t>
      </w:r>
    </w:p>
    <w:p>
      <w:r>
        <w:t>- 10/12 - PS/25/2025 Compte tenu de l'importance des biens juridiques menacés, à savoir la vie et l'intégrité physique, la décision prise respecte le principe de la proportionnalité. Partant, le placement de l'intéressé en milieu fermé est, en l'état, justifié et proportionné, aucune autre solution n'étant, pour l'heure, susceptible de contenir le risque de récidive qualifié présenté.</w:t>
      </w:r>
    </w:p>
    <w:p>
      <w:r>
        <w:rPr>
          <w:b/>
        </w:rPr>
        <w:t>E. 4</w:t>
      </w:r>
    </w:p>
    <w:p>
      <w:r>
        <w:t>Le recours sera dès lors rejeté.</w:t>
      </w:r>
    </w:p>
    <w:p>
      <w:r>
        <w:rPr>
          <w:b/>
        </w:rPr>
        <w:t>E. 5</w:t>
      </w:r>
    </w:p>
    <w:p>
      <w:r>
        <w:t>Le recourant, qui succombe, supportera les frais envers l'État, qui seront fixés en totalité à CHF 600.- (art. 428 al. 1 CPP et 13 al. 1 du Règlement fixant le tarif des frais en matière pénale, RTFMP ; E 4 10.03).</w:t>
      </w:r>
    </w:p>
    <w:p>
      <w:r>
        <w:t>- 11/12 - PS/25/2025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