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ACPR/283/2023 vom 14. März 2023</w:t>
      </w:r>
    </w:p>
    <w:p>
      <w:r>
        <w:t>GE Cour de justice, 2023-03-14, FR</w:t>
      </w:r>
    </w:p>
    <w:p>
      <w:r>
        <w:rPr>
          <w:b/>
        </w:rPr>
        <w:t xml:space="preserve">Quelle: </w:t>
      </w:r>
      <w:r>
        <w:t>https://mcp.opencaselaw.ch/entscheid/ge_gerichte_ACPR_283_2023</w:t>
      </w:r>
    </w:p>
    <w:p>
      <w:r>
        <w:t>FR: GE_GERICHTE ACPR/283/2023 du 14 mars 2023</w:t>
      </w:r>
    </w:p>
    <w:p>
      <w:r>
        <w:t>IT: GE_GERICHTE ACPR/283/2023 del 14 marzo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estime que son indigence justifie qu'il soit mis au bénéfice d'une défense d'office.</w:t>
      </w:r>
    </w:p>
    <w:p>
      <w:r>
        <w:rPr>
          <w:b/>
        </w:rPr>
        <w:t>E. 2.1</w:t>
      </w:r>
    </w:p>
    <w:p>
      <w:r>
        <w:t>En dehors des cas de défense obligatoire, qui ne concernent pas le cas d'espèce,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w:t>
      </w:r>
    </w:p>
    <w:p>
      <w:r>
        <w:rPr>
          <w:b/>
        </w:rPr>
        <w:t>E. 2.2</w:t>
      </w:r>
    </w:p>
    <w:p>
      <w:r>
        <w:t>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et 1B_138/2015 du 1er juillet 2015 consid. 2.1). En tout état de cause, une affaire n'est pas de peu de gravité lorsque le prévenu est passible d'une peine privative de liberté de plus de 4 mois ou d'une peine pécuniaire de plus de 120 jours-amende (art. 132 al. 3 CPP).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 La doctrine évoque également</w:t>
      </w:r>
    </w:p>
    <w:p>
      <w:r>
        <w:t>- 4/5 - P/380/2021 l'hypothèse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 du Tribunal fédéral 6B_243/2017 du 21 septembre 2017 consid. 2.2. et les références). Comme en matière de défense d'office, pour déterminer si le comportement d'un prévenu est ou non de peu de gravité, ce n'est pas la peine-menace encourue abstraitement, au vu de l'infraction en cause, qui doit être prise en considération mais la peine raisonnablement envisageable, au vu des circonstances concrètes du cas d'espèce, y compris d'éventuelles révocations de sursis prononcés antérieurement (ATF 120 Ia 43 consid. 2b p. 45; arrêt du Tribunal fédéral 1P.627/2002 du 4 mars 2003 consid. 3.1; ACPR/64/2014 du 29 janvier 2014 consid. 3.3.1).</w:t>
      </w:r>
    </w:p>
    <w:p>
      <w:r>
        <w:rPr>
          <w:b/>
        </w:rPr>
        <w:t>E. 2.3</w:t>
      </w:r>
    </w:p>
    <w:p>
      <w:r>
        <w:t>En l'espèce, l'autorité de céans peut se dispenser d'examiner si la condition de l'indigence est réalisée, la deuxième, cumulative, prévue par l'art. 132 al. 2 CPP, ne l'étant pas. En effet, il est reproché au recourant d'avoir, entre juillet et novembre 2018, omis de verser la contribution alimentaire due pour l'entretien de sa famille. L'infraction pour laquelle il est poursuivi ne présente, par conséquent, pas de difficultés particulières, tant du point de vue de l'établissement des faits que des questions juridiques, que le recourant ne serait pas en mesure de surmonter seul, sans l'aide d'un avocat, ce qu'il a fait jusqu'à l'audience de jugement. La peine est de peu d'importance puisqu'elle n'excédera pas celle fixée par le Tribunal de police par jugement du 27 janvier 2023, le Ministère public n'ayant pas fait appel, soit 20 jours-amende à CHF 80.- avec sursis. Enfin, que son épouse soit assistée d'un conseil ne pose pas de problème au regard de l'égalité des armes, puisque, comme retenu ci-dessus, la cause ne présente pas de complexité juridique. Il s'ensuit que c'est à juste titre que l'assistance judiciaire a été refusée au recourant.</w:t>
      </w:r>
    </w:p>
    <w:p>
      <w:r>
        <w:rPr>
          <w:b/>
        </w:rPr>
        <w:t>E. 3</w:t>
      </w:r>
    </w:p>
    <w:p>
      <w:r>
        <w:t>Justifiée, la décision déférée sera donc confirmée. Le recours, se révélant manifestement mal fondé, pouvait être rejeté sans échange d'écritures ni débats (art. 390 al. 2 et 5 a contrario CPP).</w:t>
      </w:r>
    </w:p>
    <w:p>
      <w:r>
        <w:rPr>
          <w:b/>
        </w:rPr>
        <w:t>E. 4</w:t>
      </w:r>
    </w:p>
    <w:p>
      <w:r>
        <w:t>Les frais de la procédure de recours resteront à la charge de l'État (art. 20 RAJ). * * * * *</w:t>
      </w:r>
    </w:p>
    <w:p>
      <w:r>
        <w:t>- 5/5 - P/380/2021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