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ACPR/282/2021 vom 2. Februar 2021</w:t>
      </w:r>
    </w:p>
    <w:p>
      <w:r>
        <w:t>GE Cour de justice, 2021-02-02, FR</w:t>
      </w:r>
    </w:p>
    <w:p>
      <w:r>
        <w:rPr>
          <w:b/>
        </w:rPr>
        <w:t xml:space="preserve">Quelle: </w:t>
      </w:r>
      <w:r>
        <w:t>https://mcp.opencaselaw.ch/entscheid/ge_gerichte_ACPR_282_2021</w:t>
      </w:r>
    </w:p>
    <w:p>
      <w:r>
        <w:t>FR: GE_GERICHTE ACPR/282/2021 du 2 février 2021</w:t>
      </w:r>
    </w:p>
    <w:p>
      <w:r>
        <w:t>IT: GE_GERICHTE ACPR/282/2021 del 2 febbraio 2021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w:t>
      </w:r>
    </w:p>
    <w:p>
      <w:r>
        <w:t>- 4/7 - P/12917/2019 al. 2 et 5 a contrario CPP). Tel est le cas en l'occurrence, au vu des considérations qui suivent.</w:t>
      </w:r>
    </w:p>
    <w:p>
      <w:r>
        <w:rPr>
          <w:b/>
        </w:rPr>
        <w:t>E. 3</w:t>
      </w:r>
    </w:p>
    <w:p>
      <w:r>
        <w:t>Le recourant reproche au Ministère public de ne pas avoir tenu compte de l’erreur de l’employé postal.</w:t>
      </w:r>
    </w:p>
    <w:p>
      <w:r>
        <w:rPr>
          <w:b/>
        </w:rPr>
        <w:t>E. 3.1</w:t>
      </w:r>
    </w:p>
    <w:p>
      <w:r>
        <w:t>Selon l'art. 94 CPP, une partie peut demander la restitution d'un délai imparti pour accomplir un acte de procédure si elle a été empêchée de l'observer et si elle est de ce fait exposée à un préjudice important et irréparable. Elle doit toutefois rendre vraisemblable que le défaut n'est imputable à aucune faute de sa part (al. 1). Une restitution de délai ne peut intervenir que lorsqu'un événement, par exemple une maladie ou un accident, met la partie objectivement ou subjectivement dans l'impossibilité d'agir par elle-même ou de charger une tierce personne d'agir en son nom dans le délai (arrêts du Tribunal fédéral 6B_360/2013 du 3 octobre 2013 consid. 3.1; 6B_158/2012 du 27 juillet 2012 consid. 3.2 et les références citées). En d'autres termes, il faut comprendre, par empêchement non fautif, toute circonstance qui aurait empêché une partie consciencieuse d'agir dans le délai fixé (ACPR/196/2014 du 8 avril 2014).</w:t>
      </w:r>
    </w:p>
    <w:p>
      <w:r>
        <w:rPr>
          <w:b/>
        </w:rPr>
        <w:t>E. 3.2</w:t>
      </w:r>
    </w:p>
    <w:p>
      <w:r>
        <w:t>Il existe une présomption de fait – réfragable – selon laquelle, pour les envois recommandés, la date de remise d'un pli, telle qu'elle figure sur la liste des notifications, est exacte. Cette présomption entraîne un renversement du fardeau de la preuve au détriment du destinataire. Si ce dernier ne parvient pas à établir l'absence de dépôt dans sa boîte ou sa case postale au jour attesté par le facteur, la remise est censée avoir eu lieu en ces lieu et date. Du fait notamment que l'absence de remise constitue un fait négatif, le destinataire ne doit cependant pas en apporter la preuve stricte. Il suffit d'établir qu'il existe une vraisemblance prépondérante que des erreurs se soient produites lors de la notification (arrêts du Tribunal fédéral 6B_314/2012 du 18 février 2013 consid. 1.4.1; 6B_281/2012 du 9 octobre 2012 consid. 2.1). Selon la jurisprudence, le relevé « Track &amp; Trace » ne prouve pas directement que l'envoi a été placé dans la sphère de puissance du destinataire mais seulement qu'une entrée correspondante a été introduite électroniquement dans le système d'enregistrement de la poste. L'entrée dans le système électronique constitue néanmoins un indice que l'envoi a été déposé dans la boîte aux lettres ou la case postale du destinataire à la date de distribution inscrite (ATF 142 III 599 consid. 2.2 p. 602; arrêt du Tribunal fédéral 8C_482/2018 du 26 novembre 2018 consid. 3.3). Une erreur de distribution ne peut dès lors pas d'emblée être exclue. Cependant, elle ne doit être retenue que si elle paraît plausible au vu des circonstances. L'exposé des faits par le destinataire qui se prévaut d'une erreur de distribution, et dont on peut partir du principe qu'il est de bonne foi, doit être clair et présenter une certaine</w:t>
      </w:r>
    </w:p>
    <w:p>
      <w:r>
        <w:t>- 5/7 - P/12917/2019 vraisemblance (ATF 142 III 599 consid. 2.4.1 p. 604). Dans ce contexte, des considérations purement hypothétiques, selon lesquelles l'envoi aurait été inséré dans la boîte aux lettres du voisin ou d'un tiers, ne sont pas suffisantes (arrêts du Tribunal fédéral 8C_482/2018 précité consid. 4.3; 9C_90/2015 du 2 juin 2015 consid. 3.2 et les arrêts cités);</w:t>
      </w:r>
    </w:p>
    <w:p>
      <w:r>
        <w:rPr>
          <w:b/>
        </w:rPr>
        <w:t>E. 3.3</w:t>
      </w:r>
    </w:p>
    <w:p>
      <w:r>
        <w:t>En l’espèce, le recourant expose que l'empêchement de procéder consiste en l’absence de notification correcte de l’ordonnance pénale. Selon les principes sus- rappelés, il lui appartenait toutefois de rendre vraisemblable l’absence de dépôt, dans sa boîte aux lettres, de l’avis de retrait du pli recommandé. Or, en se fondant sur de simples suppositions, fondées sur des statistiques de plis égarés – non documentées et dont rien ne dit qu’ils concernent les plis recommandés, qui plus est dans son quartier –, les « pressions » que subiraient les employés postaux et l’adage selon lequel l’erreur est humaine, le recourant ne fait pas état de dysfonctionnements concrets dans la distribution de son courrier. Ses explications ne sont ainsi pas de nature à renverser la présomption découlant du « Track &amp; Trace », à teneur duquel l'avis de retrait a été inséré dans sa boîte le 30 octobre 2020 à 11 heures 42. En l'absence de toute obligation légale, l'autorité n'avait pas à renvoyer au recourant le pli recommandé que ce dernier n'avait pas retiré à l'office postal. Le recours sera ainsi rejeté, de sorte que le fond du litige ne sera pas abordé.</w:t>
      </w:r>
    </w:p>
    <w:p>
      <w:r>
        <w:rPr>
          <w:b/>
        </w:rPr>
        <w:t>E. 4</w:t>
      </w:r>
    </w:p>
    <w:p>
      <w:r>
        <w:t>Justifiée, l'ordonnance querellée sera donc confirmée.</w:t>
      </w:r>
    </w:p>
    <w:p>
      <w:r>
        <w:rPr>
          <w:b/>
        </w:rPr>
        <w:t>E. 5</w:t>
      </w:r>
    </w:p>
    <w:p>
      <w:r>
        <w:t>Le recourant, qui succombe, supportera les frais envers l'État fixés en totalité à CHF 300.-, y compris un émolument de décision, pour tenir compte de la situation financière du recourant (art. 428 al. 1 CPP et 13 al. 1 du Règlement fixant le tarif des frais en matière pénale, RTFMP ; E 4 10.03). * * * * *</w:t>
      </w:r>
    </w:p>
    <w:p>
      <w:r>
        <w:t>- 6/7 - P/12917/2019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