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ACPR/27/2019 vom 27. September 2018</w:t>
      </w:r>
    </w:p>
    <w:p>
      <w:r>
        <w:t>GE Cour de justice, 2018-09-27, FR</w:t>
      </w:r>
    </w:p>
    <w:p>
      <w:r>
        <w:rPr>
          <w:b/>
        </w:rPr>
        <w:t xml:space="preserve">Quelle: </w:t>
      </w:r>
      <w:r>
        <w:t>https://mcp.opencaselaw.ch/entscheid/ge_gerichte_ACPR_27_2019</w:t>
      </w:r>
    </w:p>
    <w:p>
      <w:r>
        <w:t>FR: GE_GERICHTE ACPR/27/2019 du 27 septembre 2018</w:t>
      </w:r>
    </w:p>
    <w:p>
      <w:r>
        <w:t>IT: GE_GERICHTE ACPR/27/2019 del 27 settembre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29 CPP, les infractions sont poursuivies et jugées conjointement lorsqu'un prévenu a commis plusieurs infractions (al. 1 let. a) ou s'il y a plusieurs coauteurs ou participants (al. 1 let. b). L'art. 29 CPP peut être considéré comme une règle d'ordre. La stricte mise en œuvre du principe d'unité est trop souvent aléatoire et les personnes poursuivies ne pourront pas invoquer ce principe pour en tirer un véritable droit (A. KUHN / Y. JEANNERET (éds.), Code de procédure pénale suisse, Bâle 2011, n. 9 ad art. 29). Le principe d'unité de la procédure découle déjà de l'art. 49 CP et, sous réserve d'exceptions, s'applique à toutes les situations où plusieurs infractions, respectivement plusieurs personnes, doivent être jugées ensemble (A. KUHN / Y.</w:t>
      </w:r>
    </w:p>
    <w:p>
      <w:r>
        <w:t>- 6/9 - P/940/2016 JEANNERET (éds), op. cit., n. 1 ad art. 29). Ce principe tend à éviter les jugements contradictoires quant à l'état de fait, l'appréciation juridique ou la quotité de la peine. Il sert en outre l'économie de la procédure (ATF 138 IV 214 consid. 3 ; 138 IV 29 consid. 3.2). Une étroite connexité entre les infractions plaide pour une jonction (ATF 138 IV 29 consid. 5.5 = JdT 2012 IV 185). En vertu de la règle de l'unité des poursuites, les infractions commises en concours doivent être réprimées dans un seul et même jugement et un seul juge doit se prononcer sur l'ensemble des faits qui peuvent être reprochés à un délinquant. Cette solution permet d'éviter la multitude de jugements rendus à l'encontre du même prévenu, le prononcé d'une peine complémentaire ou peine d'ensemble, ainsi que des frais liés à toute nouvelle procédure (L. MOREILLON / A. PAREIN-REYMOND, Code de procédure pénale - Petit commentaire, 2ème édition, Bâle 2016, n. 3 ad art. 29). L’art. 29 al. 1 let. b CPP vise, à côté de la qualité de coauteur, également celle d’auteur médiat et de participant accessoire. L’instigation au sens de l’art. 24 CP et la complicité d’après l’art. 25 CP tombent sous la définition de la participation (ATF 138 IV 29 consid. 3.2.).</w:t>
      </w:r>
    </w:p>
    <w:p>
      <w:r>
        <w:rPr>
          <w:b/>
        </w:rPr>
        <w:t>E. 3.2</w:t>
      </w:r>
    </w:p>
    <w:p>
      <w:r>
        <w:t>Selon l’art. 30 CPP, si des raisons objectives le justifient, le Ministère public et les tribunaux peuvent ordonner la jonction ou la disjonction de procédures pénales. À titre d'exemples de cas d'application de l'exception de l'art. 30 CPP, l'on peut citer la violation du principe de célérité ou le fait que certains prévenus soient sur le point d'être jugés et pas d'autres (L. MOREILLON / A. PAREIN-REYMOND, op. cit., n. 3 ad art. 30 CPP). Ces raisons objectives excluent en revanche de se fonder sur de simples motifs de commodités (A. KUHN / Y. JEANNERET (éds), op. cit, n. 2 ad art. 30). Cette possibilité entraîne une extension de l’unité de la procédure à des situations qui ne sont pas incluses dans l’art. 29 CPP. Une étroite connexité entre différentes infractions plaide en particulier pour une jonction au sens de l’art. 30 CPP. Une telle connexité est notamment donnée, lorsque des participants s’accusent mutuellement d’infractions qui auraient été commises dans le cadre d’un même conflit (ATF 138 IV 29 consid. 5.5. = JdT 2012 IV 85 consid. 5.5 ; ACPR/654/2016 du 13 octobre 2016).</w:t>
      </w:r>
    </w:p>
    <w:p>
      <w:r>
        <w:rPr>
          <w:b/>
        </w:rPr>
        <w:t>E. 3.3</w:t>
      </w:r>
    </w:p>
    <w:p>
      <w:r>
        <w:t>En l'espèce, la décision de disjonction se justifie pleinement au vu des différences existant, cumulativement, entre les parties plaignantes, les complexes de faits et les stades d'avancement de chacun des deux pans de la procédure tels qu'ils résultent des reproches formulés par les recourants. En effet, la Banque est la principale plaignante dans la procédure originelle, datant du 15 janvier 2016, et la gestionnaire est la seule personne prévenue à ce stade, tous les actes de l'instruction convergeant vers elle et concernant plusieurs victimes. Or, dans l'extension de procédure sollicitée par les recourants, la Banque et certaines personnes y travaillant,</w:t>
      </w:r>
    </w:p>
    <w:p>
      <w:r>
        <w:t>- 7/9 - P/940/2016 ou y ayant travaillé, pourraient se trouver en situation d'être prévenues. De ce seul fait, étant peu souhaitable qu'une même entité soit partie plaignante et prévenue dans la même procédure, la disjonction se justifie. De surcroit, les faits reprochés ne sont pas liés au point d'être indissociables, s'agissant, d'une part, des malversations commises sur un compte bancaire à Genève en 2011 et 2012 principalement et, d'autre part, des conditions dans lesquelles une société des H______ n'a plus acquitté ses taxes d'enregistrement depuis 2008 environ puis a été radiée en 2015. Enfin, la disjonction est également pertinente au regard de l'état d'avancement des deux pans de la procédure, celle instruite contre l'ancienne employée de la Banque étant déjà avancée alors que celle qui devrait être éventuellement instruite contre la Banque et certains de ses employés, ou ex-employés, n'ayant pas encore débuté. De même, les infractions sont différentes, s'agissant d'une part d'instruire principalement des abus de confiance et des faux dans les titres contre une personne et, d'autre part, une gestion déloyale contre un nombre indéterminé d'employés, de plus pas nécessairement identifiés à ce jour. Enfin, les périodes pénales ne se recoupent pas. Pour l'ensemble de ces motifs, compte tenu encore du pouvoir d'appréciation du Ministère public, le recours s'avère infondé.</w:t>
      </w:r>
    </w:p>
    <w:p>
      <w:r>
        <w:rPr>
          <w:b/>
        </w:rPr>
        <w:t>E. 4</w:t>
      </w:r>
    </w:p>
    <w:p>
      <w:r>
        <w:t>Les recourants, qui succombent, supporteront les frais envers l'État, qui seront fixés en totalité à CHF 1'000.- (art. 428 al. 1 CPP et 13 al. 1 du Règlement fixant le tarif des frais en matière pénale, RTFMP ; E 4 10.03), incluant un émolument de décision. * * * * *</w:t>
      </w:r>
    </w:p>
    <w:p>
      <w:r>
        <w:t>- 8/9 - P/940/2016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