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ACPR/279/2026 vom 18. März 2026</w:t>
      </w:r>
    </w:p>
    <w:p>
      <w:r>
        <w:t>GE Cour de justice, 2026-03-18, FR</w:t>
      </w:r>
    </w:p>
    <w:p>
      <w:r>
        <w:rPr>
          <w:b/>
        </w:rPr>
        <w:t xml:space="preserve">Quelle: </w:t>
      </w:r>
      <w:r>
        <w:t>https://mcp.opencaselaw.ch/entscheid/ge_gerichte_ACPR_279_2026</w:t>
      </w:r>
    </w:p>
    <w:p>
      <w:r>
        <w:t>FR: GE_GERICHTE ACPR/279/2026 du 18 mars 2026</w:t>
      </w:r>
    </w:p>
    <w:p>
      <w:r>
        <w:t>IT: GE_GERICHTE ACPR/279/2026 del 18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partie à la procédure (art. 104 al. 1 let. b CPP), qui a qualité pour recourir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Justifiée, l'ordonnance querellée sera donc confirmée.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3.2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w:t>
      </w:r>
    </w:p>
    <w:p>
      <w:r>
        <w:t>- 6/9 - P/5289/2026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3.3</w:t>
      </w:r>
    </w:p>
    <w:p>
      <w:r>
        <w:t>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3.4</w:t>
      </w:r>
    </w:p>
    <w:p>
      <w:r>
        <w:t>En l'espèce, il est établi qu'une altercation a eu lieu en marge d'un concert à [la salle de spectacle] C______, entre le recourant et le mis en cause, a priori à la suite d'une erreur sur la personne. Autrement dit, le recourant s'est fait passer pour son fils lorsque le mis en cause s'est approché de lui (2ème déclaration du recourant et déclaration du témoin G______). Il est possible, mais non démontré, que le mis en cause avait pour intention de s'entretenir avec le fils du recourant, lequel était soupçonné d'avoir dénoncé l'une de ses connaissances pour importation en Suisse de stupéfiants (déclarations à la police du recourant et de son fils). Les témoins présents, au nombre de quatre du côté du recourant – parmi lesquels son fils, qui dormait toutefois au moment des faits, fortement alcoolisé – et d'un seul du côté du mis en cause (I______, qui s'était rendue avec lui au concert), ont tous déclaré qu'une bagarre avait éclaté entre les protagonistes et que des coups avaient été échangés de part et d'autre, sans qu'il soit possible de déterminer, de manière claire et objective, qui avait asséné le premier coup. Les deux protagonistes ont été blessés, le recourant ayant eu un doigt cassé, une blessure compatible avec la "clé de main" dont il dit avoir été victime, et le mis en cause une fracture du nez, compatible avec le coup de tête qu'il dit avoir reçu. Tous deux ont dû subir une ou plusieurs interventions chirurgicales à la suite de ces blessures. Rien ne permet dès lors de retenir que le mis en cause, par le geste qui a vraisemblablement causé la fracture d'un doigt du recourant, aurait eu une autre intention que celle de se défendre ou à tout le moins de repousser son antagoniste durant leur bagarre, lequel – le recourant donc – lui a asséné un coup qui lui a brisé le nez. C'est donc à bon droit que le Ministère public a refusé d'entrer en matière sur la plainte du recourant et aucun acte d'instruction n'apparaît susceptible de modifier ce constat. En particulier, il paraît peu probable que les témoins déjà entendus livrent une version différente et plus détaillée de l'altercation près d'une année désormais depuis les faits.</w:t>
      </w:r>
    </w:p>
    <w:p>
      <w:r>
        <w:t>- 7/9 - P/5289/2026 Quant au courrier de I______, adressé au Ministère public après la notification de l'ordonnance querellée, il ne renseigne pas plus sur le déroulement de la bagarre que la description qu'elle en a donnée le 9 octobre 2025 à la police. Il est en effet déjà établi par le dossier qu'un contact physique est intervenu entre les protagonistes et qu'une bagarre a éclaté entre eux. Il est de même démontré que le recourant a été blessé durant la dispute. Il n'existe en revanche pas d'actes d'instruction à même de corroborer la version du recourant, plutôt que celle du mis en cause s'agissant de savoir qui a "attaqué" en premier et qui n'aurait fait que se défendre. La décision querellée ne prête dès lors pas le flanc à la critique.</w:t>
      </w:r>
    </w:p>
    <w:p>
      <w:r>
        <w:rPr>
          <w:b/>
        </w:rPr>
        <w:t>E. 4</w:t>
      </w:r>
    </w:p>
    <w:p>
      <w:r>
        <w:t>Le recourant, qui succombe, supportera les frais envers l'État, fixés en totalité à CHF 1'000.- (art. 428 al. 1 CPP et 13 al. 1 du Règlement fixant le tarif des frais en matière pénale, RTFMP; E 4 10.03). * * * * *</w:t>
      </w:r>
    </w:p>
    <w:p>
      <w:r>
        <w:t>- 8/9 - P/5289/2026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