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ACPR/279/2020 vom 20. November 2019</w:t>
      </w:r>
    </w:p>
    <w:p>
      <w:r>
        <w:t>GE Cour de justice, 2019-11-20, FR</w:t>
      </w:r>
    </w:p>
    <w:p>
      <w:r>
        <w:rPr>
          <w:b/>
        </w:rPr>
        <w:t xml:space="preserve">Quelle: </w:t>
      </w:r>
      <w:r>
        <w:t>https://mcp.opencaselaw.ch/entscheid/ge_gerichte_ACPR_279_2020</w:t>
      </w:r>
    </w:p>
    <w:p>
      <w:r>
        <w:t>FR: GE_GERICHTE ACPR/279/2020 du 20 novembre 2019</w:t>
      </w:r>
    </w:p>
    <w:p>
      <w:r>
        <w:t>IT: GE_GERICHTE ACPR/279/2020 del 20 novembre 2019</w:t>
      </w:r>
    </w:p>
    <w:p>
      <w:pPr>
        <w:pStyle w:val="Heading2"/>
      </w:pPr>
      <w:r>
        <w:t>Erwägungen</w:t>
      </w:r>
    </w:p>
    <w:p>
      <w:r>
        <w:rPr>
          <w:b/>
        </w:rPr>
        <w:t>E. 1</w:t>
      </w:r>
    </w:p>
    <w:p>
      <w:r>
        <w:t>Le recours est recevable pour avoir été déposé dans le délai et la forme prescrits (art. 90 al. 2, 385 al. 1 et 396 al. 1 CPP), concerner une décision du Tribunal de police sujette à recours auprès de la Chambre de céans (art. 393 al. 1 let. b CPP ; arrêts du Tribunal fédéral 6B_346/2011 du 1er juillet 2011 consid. 4.2 et 6B_801/2013 du 17 décembre 2013 consid. 1.1) et émaner du prévenu, qui a qualité</w:t>
      </w:r>
    </w:p>
    <w:p>
      <w:r>
        <w:t>- 4/6 - P/9039/2019 pour agir (art. 104 al. 1 let. a, 111 et 382 al. 1 CPP) et un intérêt juridiquement protégé à l'annulation ou la modification de l'ordonnance entreprise (382 al. 1 CPP).</w:t>
      </w:r>
    </w:p>
    <w:p>
      <w:r>
        <w:rPr>
          <w:b/>
        </w:rPr>
        <w:t>E. 2</w:t>
      </w:r>
    </w:p>
    <w:p>
      <w:r>
        <w:t>Le recourant fait grief au Tribunal de police d'avoir considéré que son opposition à l’ordonnance pénale était réputée retirée.</w:t>
      </w:r>
    </w:p>
    <w:p>
      <w:r>
        <w:rPr>
          <w:b/>
        </w:rPr>
        <w:t>E. 2.1</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2.2</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(cf. ATF 142 IV 158 consid. 3.1 p. 159 s. et 3.4 p. 161 s.; 140 IV 82 consid.</w:t>
      </w:r>
    </w:p>
    <w:p>
      <w:r>
        <w:rPr>
          <w:b/>
        </w:rPr>
        <w:t>E. 2.3</w:t>
      </w:r>
    </w:p>
    <w:p>
      <w:r>
        <w:t>En l’espèce, le recourant ayant été cité à comparaître personnellement par le Tribunal de police, son conseil n’était en principe pas autorisé à le représenter, conformément aux principes jurisprudentiels sus-rappelé. Il sera à cet égard relevé que dès lors que l’opposition à l’ordonnance pénale du 24 juin 2019 n’était pas motivée, le Tribunal de police ne pouvait pas savoir, à réception du dossier, que seule la quotité de la peine était contestée. Dans un souci de célérité et simplification, le conseil du recourant aurait pu brièvement motiver l'opposition ou informer le Tribunal de police, lorsque la cause lui avait été transmise, que seule la peine était contestée, puis demander, à réception de l'avis d'audience, à être autorisé à représenter son conseil à l’audience pour cette raison.</w:t>
      </w:r>
    </w:p>
    <w:p>
      <w:r>
        <w:t>- 5/6 - P/9039/2019 Cela étant, dans la mesure où le recourant a comparu aux deux audiences fixées par le Ministère public sur ses oppositions aux ordonnances pénales puis a dépêché son conseil à l’audience devant le Tribunal de police, on ne saurait retenir, conformément à la jurisprudence sus-citée, qu’il s’est désintéressé de la suite de la procédure. On ne se trouve en outre pas dans un cas d’abus de droit par le prévenu, quand bien même il a refusé de fournir son adresse à l’étranger. Partant, la fiction du retrait de l’opposition ne peut s’appliquer ici, sans qu’il soit nécessaire d’examiner, en sus, si l’ordonnance querellée consacre une violation du principe de la bonne foi (art. 3 al. 2 CPP). La jurisprudence citée par le Tribunal de police dans ses observations (ATF 145 I 201) ne dit pas autre chose, le Tribunal fédéral ayant retenu que l'absence du prévenu ne constituait pas un obstacle à ce que son défenseur participe à l'audience. Ce dernier pouvait en particulier tenter de démontrer qu'en dépit de l'absence de son client, les conditions de la fiction du retrait de l'opposition n'étaient pas réunies (consid. 1). En outre, en refusant au conseil du prévenu le droit de plaider et en constatant qu’il (l’avocat) n'avait pas comparu à l'audience compte tenu de son retard, le Tribunal de police avait fait preuve de formalisme excessif (consid. 4.2.2). Sur la base de ces principes, on ne voit pas en quoi, seule la quotité de la peine étant contestée, le Tribunal de police n’aurait pas pu autoriser le conseil du prévenu à expliquer les raisons de l’absence de celui-ci et à le représenter.</w:t>
      </w:r>
    </w:p>
    <w:p>
      <w:r>
        <w:rPr>
          <w:b/>
        </w:rPr>
        <w:t>E. 4</w:t>
      </w:r>
    </w:p>
    <w:p>
      <w:r>
        <w:t>Fondé, le recours doit être admis. Partant, l'ordonnance querellée sera annulée et la cause retournée au Tribunal de police pour qu’il examine la validité de l’ordonnance pénale et de l’opposition et, préalablement, détermine si la présence du prévenu en personne à l'audience est nécessaire.</w:t>
      </w:r>
    </w:p>
    <w:p>
      <w:r>
        <w:rPr>
          <w:b/>
        </w:rPr>
        <w:t>E. 5</w:t>
      </w:r>
    </w:p>
    <w:p>
      <w:r>
        <w:t>L’admission du recours ne donnera pas lieu à la perception de frais (art. 428 al. 1 CPP).</w:t>
      </w:r>
    </w:p>
    <w:p>
      <w:r>
        <w:rPr>
          <w:b/>
        </w:rPr>
        <w:t>E. 6</w:t>
      </w:r>
    </w:p>
    <w:p>
      <w:r>
        <w:t>Le recourant, qui ne bénéficie pas de l’assistance judiciaire, conclut à l’octroi d’une indemnité pour ses frais de recours, qu’il a chiffrée à CHF 969.30. La TVA n'est pas due, le recourant alléguant être domicilié à l'étranger. * * * * *</w:t>
      </w:r>
    </w:p>
    <w:p>
      <w:r>
        <w:t>- 6/6 - P/9039/2019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