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ACPR/278/2022 vom 15. Dezember 2021</w:t>
      </w:r>
    </w:p>
    <w:p>
      <w:r>
        <w:t>GE Cour de justice, 2021-12-15, FR</w:t>
      </w:r>
    </w:p>
    <w:p>
      <w:r>
        <w:rPr>
          <w:b/>
        </w:rPr>
        <w:t xml:space="preserve">Quelle: </w:t>
      </w:r>
      <w:r>
        <w:t>https://mcp.opencaselaw.ch/entscheid/ge_gerichte_ACPR_278_2022</w:t>
      </w:r>
    </w:p>
    <w:p>
      <w:r>
        <w:t>FR: GE_GERICHTE ACPR/278/2022 du 15 décembre 2021</w:t>
      </w:r>
    </w:p>
    <w:p>
      <w:r>
        <w:t>IT: GE_GERICHTE ACPR/278/2022 del 15 dicembre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d'une violation de l'art. 310 CPP cum art. 173 et 174 CP. 2.1.1.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w:t>
      </w:r>
    </w:p>
    <w:p>
      <w:r>
        <w:t>- 6/9 - P/23388/2020 2.1.2. 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L'inculpé n'encourra aucune peine s'il prouve que les allégations qu'il a articulées ou propagées sont conformes à la vérité ou qu'il avait des raisons sérieuses de les tenir de bonne foi pour vraies (ch. 2).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(ch. 1). L'art. 176 CP assimile à la diffamation et à la calomnie verbales la diffamation et la calomnie par l'écriture, l'image, le geste ou par tout autre moyen. L'honneur protégé par ces dispositions est conçu de façon générale comme un droit au respect, qui est lésé par toute assertion propre à exposer la personne visée au mépris en sa qualité d'homme. Tel est notamment le cas lorsqu'on évoque une infraction pénale ou un comportement clairement réprouvé par les conceptions morales généralement admises (ATF 145 IV 462 consid. 4.2.2).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Un texte doit être analysé non seulement en fonction des expressions utilisées, prises séparément, mais aussi selon le sens général qui se dégage du texte dans son ensemble (ATF 137 IV 313 consid. 2.1.3). La personne dont l'honneur est visé n'a pas à être désignée, il suffit qu'elle soit reconnaissable, soit identifiable (ATF 124 IV 262 consid. 2a ; 117 IV 27 consid. 2c ; arrêt du Tribunal fédéral 6B_1126/2020 du 10 juin 2021 consid. 3.1). Une personne est directement visée non seulement lorsque l’un ou l’autre propos, examiné séparément, est dirigé directement contre elle, mais aussi lorsqu’il résulte de l’ensemble du texte qu’elle est directement concernée. Il n'est pas nécessaire que plusieurs personnes la reconnaissent. Il suffit que l'un des destinataires de la déclaration le puisse ("un tiers", cf. art. 173 ch. 1 CP). Cette question est examinée en tenant compte non seulement des informations contenues dans la déclaration litigieuse, mais également des circonstances connues ou à disposition du tiers qui la reçoit (arrêts du Tribunal fédéral 6B_440/2019 du 18 novembre 2020 consid. 2.4.1, non publié in ATF 147 IV 65 ; 6B_491/2013 du 4 février 2014 consid. 5.2.1 ; ACPR/864/2020 du 30 novembre 2020 consid. 2.3). La diffamation peut également être réalisée lorsque l'auteur "propage" une accusation attentatoire à l'honneur (cf. art. 173 ch. 1 al. 2 CP), ce qui suppose que les déclarations préalablement formulées par autrui soient communiquées à un tiers. Tel peut notamment être le cas par l'utilisation des fonctions "j'aime" ou "partager" d'un</w:t>
      </w:r>
    </w:p>
    <w:p>
      <w:r>
        <w:t>- 7/9 - P/23388/2020 contenu publié sur Facebook. L'infraction n'est consommée que lorsque les propos attentatoires à l'honneur, auxquels réagit celui qui les propage en utilisant lesdites fonctions, sont accessibles à un tiers et que celui-ci en prend connaissance (ATF 146 IV 23 consid. 2.2.3 et 2.2.4). La calomnie (art. 174 CP)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arrêt du Tribunal fédéral 6B_1215/2020 du 22 avril 2021 consid. 3.1).</w:t>
      </w:r>
    </w:p>
    <w:p>
      <w:r>
        <w:rPr>
          <w:b/>
        </w:rPr>
        <w:t>E. 2.2</w:t>
      </w:r>
    </w:p>
    <w:p>
      <w:r>
        <w:t>En l'espèce, il n'est pas contesté que les allégations litigieuses, notamment celles portant sur l'enlèvement, par le recourant, de sa fille mineure – ce qui serait constitutif d'un délit (art. 220 CP), voire d'un crime (art. 183 CP) – et les qualificatifs de "bâtard" ou "cerveau malade", sont susceptibles d'être attentatoires à l'honneur au sens des art. 173 ss CPP. Est seul litigieux le point de savoir si le Ministère public pouvait, à ce stade liminaire de la procédure, retenir que l'élément subjectif des infractions de diffamation, voire de calomnie, faisait manifestement défaut. Tel n'est pas le cas. En effet, le seul fait que le recourant et sa femme se trouvaient en conflit au sujet de la garde de leur fille commune ne suffit pas pour considérer que la mise en cause, en affirmant que le recourant aurait enlevé leur fille, voire en relayant sur Facebook une vidéo contenant de telles accusations, n'a pas agi avec l'intention de porter atteinte à son honneur, ne serait-ce que par dol éventuel. Les déclarations de la prénommée à la police ne permettent pas d'exclure une telle possibilité, à tout le moins sous l'angle du principe in dubio pro duriore. Quant à D______, qui n'est pas lui-même partie prenante au conflit opposant les époux, son audition permet de constater qu'il a agi dans le but avoué de rendre l'affaire publique, ce qui ne permet pas non plus de nier tout caractère intentionnel à ses actes. Dans ses observations, le Ministère public insiste sur le fait que les mis en cause ont tous deux déclaré ne pas avoir divulgué le nom du recourant. Cet élément n'est toutefois pas déterminant; ce qui compte, c'est que la personne visée soit reconnaissable par un tiers, cas échéant en tenant compte des déclarations dans leur ensemble. Or, les informations qui semblent avoir été révélées dans les vidéos litigieuses – prénom et profession du recourant, détails de sa séparation avec la mise</w:t>
      </w:r>
    </w:p>
    <w:p>
      <w:r>
        <w:t>- 8/9 - P/23388/2020 en cause, nom et date de naissance de leur fille commune, date et lieu de l'audience à F______, voire même simplement le visage et la voix de la mise en cause – ne permettent pas d'exclure qu'un tiers, membre de la communauté russophone de Suisse, à qui lesdites vidéos étaient apparemment destinées, ait pu reconnaître la personne du recourant. C'est d'ailleurs bien ce qui semble s'être passé, le recourant expliquant que lui et sa famille auraient été interpellés par des femmes d'origine russe à Genève sur le prétendu enlèvement. Enfin, en retenant que la mise en cause considérait les propos comme "véritables", le Ministère public semble faire référence à la preuve libératoire de la bonne foi (art. 173 ch. 2 CP). Le dossier ne contient toutefois pas suffisamment d'éléments pour pouvoir affirmer, à ce stade de la procédure, que l'intéressée avait des raisons suffisantes de croire que le recourant avait enlevé ou kidnappé leur fille commune. Il appartiendra à l'instruction de le déterminer. Il n'en va pas autrement de la connaissance du caractère erroné des affirmations litigieuses, étant par ailleurs relevé que cette circonstance est pertinente pour l'infraction de calomnie (art. 174 CP), mais pas pour celle, subsidiaire, de diffamation (art. 173 CP). Il résulte de ce qui précède que le Ministère public ne pouvait pas considérer, sous l'angle du principe in dubio pro duriore applicable à ce stade, que les déclarations litigieuses n'étaient manifestement pas punissables, faute d'intention.</w:t>
      </w:r>
    </w:p>
    <w:p>
      <w:r>
        <w:rPr>
          <w:b/>
        </w:rPr>
        <w:t>E. 3</w:t>
      </w:r>
    </w:p>
    <w:p>
      <w:r>
        <w:t>Fondé, le recours doit être admis. Partant, l'ordonnance querellée sera annulée et la cause renvoyée au Ministère public pour l'ouverture d'une instruction.</w:t>
      </w:r>
    </w:p>
    <w:p>
      <w:r>
        <w:rPr>
          <w:b/>
        </w:rPr>
        <w:t>E. 4</w:t>
      </w:r>
    </w:p>
    <w:p>
      <w:r>
        <w:t>L'admission du recours ne donne pas lieu à la perception de frais (art. 428 al. 4 CPP), ce qui rend sans objet la conclusion préalable du recourant, portant sur l'assistance judiciaire pour les frais de la procédure de recours.</w:t>
      </w:r>
    </w:p>
    <w:p>
      <w:r>
        <w:rPr>
          <w:b/>
        </w:rPr>
        <w:t>E. 5</w:t>
      </w:r>
    </w:p>
    <w:p>
      <w:r>
        <w:t>Le recourant, partie plaignante qui obtient gain de cause, a droit à une indemnité pour ses frais de défense, à la charge de l'État (art. 433 al. 1 let. a cum 436 al. 1 CPP ; ACPR/675/2020 du 24 septembre 2020 consid. 6.2 et les arrêts cités). Il conclut au versement d'une indemnité de CHF 3'412.-, correspondant à plus de 8h30 d'activité au tarif horaire de CHF 400.-, dont 6h15 consacrée à la rédaction du recours et à l'établissement d'un bordereau de pièces. Compte tenu de l'ampleur de ses écritures (recours de onze pages, dont une de garde, une de conclusions et cinq de développements juridiques, réplique d'une page), cette durée paraît exagérée et sera ramenée à 4h, auquel on ajoutera 2h seulement pour les postes courriers, conférence avec le client et consultation du dossier, ce qui donne une indemnité de CHF 2'400.-, plus la TVA à 7.7% (CHF 185.- arrondis), soit un total de CHF 2'585.-. * * * * *</w:t>
      </w:r>
    </w:p>
    <w:p>
      <w:r>
        <w:t>- 9/9 - P/23388/2020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