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ACPR/277/2017 vom 13. April 2017</w:t>
      </w:r>
    </w:p>
    <w:p>
      <w:r>
        <w:t>GE Cour de justice, 2017-04-13, FR</w:t>
      </w:r>
    </w:p>
    <w:p>
      <w:r>
        <w:rPr>
          <w:b/>
        </w:rPr>
        <w:t xml:space="preserve">Quelle: </w:t>
      </w:r>
      <w:r>
        <w:t>https://mcp.opencaselaw.ch/entscheid/ge_gerichte_ACPR_277_2017</w:t>
      </w:r>
    </w:p>
    <w:p>
      <w:r>
        <w:t>FR: GE_GERICHTE ACPR/277/2017 du 13 avril 2017</w:t>
      </w:r>
    </w:p>
    <w:p>
      <w:r>
        <w:t>IT: GE_GERICHTE ACPR/277/2017 del 13 aprile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l'existence de charges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w:t>
      </w:r>
    </w:p>
    <w:p>
      <w:r>
        <w:t>- 5/8 - P/21341/2016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les traces prélevées sur la fermeture de dix sachets minigrip contenant de l'héroïne, ainsi que sur et dans le nœud d'un sac plastique contenant également de la drogue, se sont révélées, après analyse, correspondre à l'ADN de la recourante. Celle-ci a beau tenter de minimiser l'importance de cette découverte, force est de constater que l'emplacement des traces litigieuses ne permet pas de retenir, en l'état, un transfert fortuit d'ADN ou une manipulation inoffensive des sachets et sac à vide. Le but d'une analyse des traces sur des fermetures et un nœud a précisément pour but de tenter de déterminer qui a fermé les sachets, respectivement le sac. En l'occurrence, les traces ADN s'apparentant à celui de la recourante, présents sur une dizaine de fermetures de sachets minigrips, ainsi que sur et dans le nœud d'un autre sac, constituent incontestablement un élément à charge, quand bien même la recourante maintient qu'elle n'a participé à aucun trafic de stupéfiants. D'ailleurs, ses déclarations ont varié dans le temps, puisqu'en février 2017 elle contestait avoir touché tout sachet minigrip, alors qu'elle envisage désormais la possibilité d'en avoir touché alors qu'ils étaient encore vides. En l'état, l'existence de traces ADN appartenant à la recourante sur les fermetures des sachets et sac susmentionnés est suffisante pour retenir, contre celle-ci, une prévention pénale d'infraction grave à la LStup. Partant, la première condition de l'art. 221 al. 1 première phrase CPP est réalisée en l'état.</w:t>
      </w:r>
    </w:p>
    <w:p>
      <w:r>
        <w:rPr>
          <w:b/>
        </w:rPr>
        <w:t>E. 3</w:t>
      </w:r>
    </w:p>
    <w:p>
      <w:r>
        <w:t>La recourante semble, dans sa réplique, contester l'existence d'un risque de collusion, reprochant au Ministère public de n'avoir fait état d'aucun nom de personne susceptible d'être contactée par elle, ni d'avoir indiqué quels éventuels éléments de preuve pourraient disparaître en cas de libération. Et pour cause selon elle, puisqu'elle s'affirme étrangère à tout trafic de drogue.</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w:t>
      </w:r>
    </w:p>
    <w:p>
      <w:r>
        <w:t>- 6/8 - P/21341/2016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l'occurrence, l'arrestation de B______, il y a cinq mois, ne permet pas d'exclure l'existence d'un risque de collusion entre la recourante et les autres personnes impliquées dans le trafic d'héroïne démantelé, même si la précitée était, jusqu'ici, en liberté. La découverte de ses traces ADN sur les fermetures d'une dizaine de sachets et un sac contenant de l'héroïne destinée à la vente, alors qu'elle a commencé par contester les analyses puis n'a fourni aucune explication plausible, permet désormais de redouter qu'elle ne fasse disparaître des éléments de preuve, par exemple en contactant d'autres membres du réseau – sans qu'il faille forcément les nommer –, ce qu'elle n'avait pas de raison de faire tant qu'elle ne se savait pas soupçonnée. Il existe donc, à ce stade de l'instruction, un risque de collusion concret et sérieux.</w:t>
      </w:r>
    </w:p>
    <w:p>
      <w:r>
        <w:rPr>
          <w:b/>
        </w:rPr>
        <w:t>E. 4</w:t>
      </w:r>
    </w:p>
    <w:p>
      <w:r>
        <w:t>Compte tenu du risque retenu ci-dessus, aucune mesure de substitution (art. 237 CPP) n'est en l'état envisageable.</w:t>
      </w:r>
    </w:p>
    <w:p>
      <w:r>
        <w:rPr>
          <w:b/>
        </w:rPr>
        <w:t>E. 5</w:t>
      </w:r>
    </w:p>
    <w:p>
      <w:r>
        <w:t>La recourante ne remet pas en cause la durée de la détention provisoire, prononcée pour une durée de trois mois, à bon escient au vu de la gravité des charges retenues contre elle, de sa récente arrestation et des mesures d'instruction à mener.</w:t>
      </w:r>
    </w:p>
    <w:p>
      <w:r>
        <w:rPr>
          <w:b/>
        </w:rPr>
        <w:t>E. 6</w:t>
      </w:r>
    </w:p>
    <w:p>
      <w:r>
        <w:t>Le recours s'avère ainsi infondé et doit être rejeté.</w:t>
      </w:r>
    </w:p>
    <w:p>
      <w:r>
        <w:rPr>
          <w:b/>
        </w:rPr>
        <w:t>E. 7</w:t>
      </w:r>
    </w:p>
    <w:p>
      <w:r>
        <w:t>La recourante, qui succombe, supportera les frais envers l'État, qui comprendront un émolument de CHF 900.- (art. 428 al. 1 CPP et 13 al. 1 du Règlement fixant le tarif des frais en matière pénale, RTFMP ; E 4 10.03).</w:t>
      </w:r>
    </w:p>
    <w:p>
      <w:r>
        <w:t>* * * * *</w:t>
      </w:r>
    </w:p>
    <w:p>
      <w:r>
        <w:t>- 7/8 - P/21341/2016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