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ACPR/275/2023 vom 14. April 2023</w:t>
      </w:r>
    </w:p>
    <w:p>
      <w:r>
        <w:t>GE Cour de justice, 2023-04-14, FR</w:t>
      </w:r>
    </w:p>
    <w:p>
      <w:r>
        <w:rPr>
          <w:b/>
        </w:rPr>
        <w:t xml:space="preserve">Quelle: </w:t>
      </w:r>
      <w:r>
        <w:t>https://mcp.opencaselaw.ch/entscheid/ge_gerichte_ACPR_275_2023</w:t>
      </w:r>
    </w:p>
    <w:p>
      <w:r>
        <w:t>FR: GE_GERICHTE ACPR/275/2023 du 14 avril 2023</w:t>
      </w:r>
    </w:p>
    <w:p>
      <w:r>
        <w:t>IT: GE_GERICHTE ACPR/275/2023 del 14 aprile 2023</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remet pas en question les charges suffisantes qui pèsent sur lui, de sorte qu'il n'y a pas à s'y attarder, mais à renvoyer, en tant que de besoin, à la motivation adoptée par le premier juge (art 82 al. 4 CPP; ACPR/747/2020 du 22 octobre 2020 consid. 2 et les références).</w:t>
      </w:r>
    </w:p>
    <w:p>
      <w:r>
        <w:rPr>
          <w:b/>
        </w:rPr>
        <w:t>E. 3</w:t>
      </w:r>
    </w:p>
    <w:p>
      <w:r>
        <w:t>Le recourant conteste tous les risques retenus et estime que des mesures de substitution pourraient les pallier.</w:t>
      </w:r>
    </w:p>
    <w:p>
      <w:r>
        <w:rPr>
          <w:b/>
        </w:rPr>
        <w:t>E. 3.1</w:t>
      </w:r>
    </w:p>
    <w:p>
      <w:r>
        <w:t>Pour admettre un risque de récidive au sens de l'art. 221 al. 1 let. c CPP, les infractions redoutées, tout comme les antécédents, doivent être des crimes ou des délits graves, au premier chef les délits de violence (ATF 143 IV 9 consid. 2.3.1 et les références). Plus l'infraction et la mise en danger sont graves, moins les exigences sont élevées quant au risque de réitération. Il demeure qu'en principe le risque de récidive ne doit être admis qu'avec retenue comme motif de détention. Dès lors, un pronostic défavorable est nécessaire pour admettre l'existence d'un tel risque (ATF 143 IV 9 consid. 2.9). Pour établir le pronostic de récidive, les critères déterminants sont la fréquence et l'intensité des infractions poursuivies. Cette évaluation doit prendre en compte une éventuelle tendance à l'aggravation telle qu'une intensification de l'activité délictuelle, une escalade de la violence ou une augmentation de la fréquence des agissements. Les caractéristiques personnelles du prévenu doivent en outre être évaluées (ATF 146 IV 326 consid. 2.3.1; arrêt du Tribunal fédéral 1B_668/2021 du 4 janvier 2022 consid. 4.1). Bien qu'une application littérale de l'art. 221 al. 1 let. c CPP suppose l'existence d'antécédents, le risque de réitération peut être également admis dans des cas particuliers alors qu'il n'existe qu'un antécédent, voire aucun dans les cas les plus graves. La prévention du risque de récidive doit en effet permettre de faire prévaloir l'intérêt à la sécurité publique sur la liberté personnelle du prévenu (ATF 137 IV 13 consid. 3-4). Le risque de récidive peut également se fonder sur les infractions faisant l'objet de la procédure pénale en cours, si le prévenu est fortement soupçonné – avec une probabilité confinant à la certitude – de les avoir commises (ATF 143 IV 9 consid. 2.3.1). Une expertise psychiatrique se prononçant sur ce risque n'est cependant pas nécessaire dans tous les cas (ATF 143 IV 9 consid. 2.8).</w:t>
      </w:r>
    </w:p>
    <w:p>
      <w:r>
        <w:t>- 8/11 - P/2405/20232</w:t>
      </w:r>
    </w:p>
    <w:p>
      <w:r>
        <w:rPr>
          <w:b/>
        </w:rPr>
        <w:t>E. 3.2</w:t>
      </w:r>
    </w:p>
    <w:p>
      <w:r>
        <w:t>En l'espèce, le recourant a des antécédents de lésions corporelles, certes simples, et il lui est reproché d'avoir frappé le plaignant avec un couteau présentant une lame de 25 cm et un objet en verre, dans un contexte lié à la consommation de stupéfiants. Au regard de la motivation du prévenu – différant sur la qualité de la marchandise ou volonté de préserver sa compagne – et des explications sur les raisons pour lesquelles il s'était présenté chez le plaignant avec une arme, il convient de faire prévaloir l'intérêt à la sécurité publique sur celui à la liberté personnelle du prévenu, à tout le moins avant d'avoir reçu les conclusions des experts. Aucune mesure de substitution ne peut à ce stade pallier ce risque.</w:t>
      </w:r>
    </w:p>
    <w:p>
      <w:r>
        <w:rPr>
          <w:b/>
        </w:rPr>
        <w:t>E. 4</w:t>
      </w:r>
    </w:p>
    <w:p>
      <w:r>
        <w:t>Le risque de réitération étant suffisant à permettre la détention avant jugement, point n'est besoin d'examiner les risques de collusion et de fuite (arrêt du Tribunal fédéral 1B_322/2019 du 17 juillet 2019 consid. 3.3).</w:t>
      </w:r>
    </w:p>
    <w:p>
      <w:r>
        <w:rPr>
          <w:b/>
        </w:rPr>
        <w:t>E. 5</w:t>
      </w:r>
    </w:p>
    <w:p>
      <w:r>
        <w:t>La durée de la détention provisoire est largement proportionnée à la peine concrètement encourue si le recourant devait être reconnu coupable des infractions dont il est soupçonné, notamment une tentative de meurtre.</w:t>
      </w:r>
    </w:p>
    <w:p>
      <w:r>
        <w:rPr>
          <w:b/>
        </w:rPr>
        <w:t>E. 6</w:t>
      </w:r>
    </w:p>
    <w:p>
      <w:r>
        <w:t>Le recours s'avère ainsi infondé et doit être rejeté.</w:t>
      </w:r>
    </w:p>
    <w:p>
      <w:r>
        <w:rPr>
          <w:b/>
        </w:rPr>
        <w:t>E. 7</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Le recourant plaide au bénéfice d'une défense d'office.</w:t>
      </w:r>
    </w:p>
    <w:p>
      <w:r>
        <w:rPr>
          <w:b/>
        </w:rPr>
        <w:t>E. 8.1</w:t>
      </w:r>
    </w:p>
    <w:p>
      <w:r>
        <w:t>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w:t>
      </w:r>
    </w:p>
    <w:p>
      <w:r>
        <w:rPr>
          <w:b/>
        </w:rPr>
        <w:t>E. 8.2</w:t>
      </w:r>
    </w:p>
    <w:p>
      <w:r>
        <w:t>En l'occurrence, quand bien même le recourant succombe, on peut admettre que l'exercice du présent recours ne procède pas d'un abus.</w:t>
      </w:r>
    </w:p>
    <w:p>
      <w:r>
        <w:t>- 9/11 - P/2405/20232 L'indemnité du défenseur d'office sera fixée à la fin de la procédure (art. 135 al. 2 CPP). * * * * *</w:t>
      </w:r>
    </w:p>
    <w:p>
      <w:r>
        <w:t>- 10/11 - P/2405/20232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