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ACPR/274/2026 vom 17. März 2026</w:t>
      </w:r>
    </w:p>
    <w:p>
      <w:r>
        <w:t>GE Cour de justice, 2026-03-17, FR</w:t>
      </w:r>
    </w:p>
    <w:p>
      <w:r>
        <w:rPr>
          <w:b/>
        </w:rPr>
        <w:t xml:space="preserve">Quelle: </w:t>
      </w:r>
      <w:r>
        <w:t>https://mcp.opencaselaw.ch/entscheid/ge_gerichte_ACPR_274_2026</w:t>
      </w:r>
    </w:p>
    <w:p>
      <w:r>
        <w:t>FR: GE_GERICHTE ACPR/274/2026 du 17 mars 2026</w:t>
      </w:r>
    </w:p>
    <w:p>
      <w:r>
        <w:t>IT: GE_GERICHTE ACPR/274/2026 del 17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constatation inexacte des faits, reprochant au TMC de s'être rallié à la position du Ministère public, s'agissant de la gravité des charges. Il ne mentionne cependant pas quel élément de fait aurait été appréhendé de manière inexacte ou incomplète, de sorte que son grief s'apparente plutôt à une contestation des charges suffisantes, comme l'a du reste relevé le Ministère public. Cela étant, dès lors que la Chambre de céans jouit d'un plein pouvoir de cognition en droit et en fait (art. 393 al. 2 CPP; ATF 137 I 195 consid. 2.3.2), les éventuelles constatations incomplètes ou inexactes du TMC auront été corrigées dans l'état de fait établi ci-devant. Partant, ce grief sera rejeté.</w:t>
      </w:r>
    </w:p>
    <w:p>
      <w:r>
        <w:rPr>
          <w:b/>
        </w:rPr>
        <w:t>E. 3</w:t>
      </w:r>
    </w:p>
    <w:p>
      <w:r>
        <w:t>Le recourant conteste l'existence de charges suffisantes.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l'épouse du prévenu s'est rendue à la police pour dénoncer des faits graves de violence psychique, physique et sexuelle réguliers qu'elle subissait à tout le moins depuis leur arrivée en Suisse en 2023, ainsi que des faits de violence physique sur leurs enfants.</w:t>
      </w:r>
    </w:p>
    <w:p>
      <w:r>
        <w:t>- 7/11 - P/4650/2026 Elle s'était confiée préalablement aux intervenants du centre LAVI, qui lui avaient suggéré cette démarche. Ses déclarations à la police sont claires et détaillées. Selon le Ministère public, elles sont corroborées par l'audition EVIG (non encore retranscrite) de deux des enfants du couple. Le recourant, qui conteste les faits, dit ne pas comprendre les accusations de son épouse, laquelle serait selon lui fragile psychologiquement, et les réfute, admettant seulement avoir donné une tape sur la main de sa fille pour la punir d'avoir menti. Il a par ailleurs reconnu avoir installé un système de surveillance sur le téléphone portable de son épouse, selon lui un programme de surveillance parentale, avec son accord, car elle prêtait son appareil aux enfants. Ses dénégations, non étayées par des éléments probants – son placement à Curabilis ne constituant pas une preuve de son "innocence", comme il le sous-entend –, ne sont pas, à ce stade précoce de l'instruction, de nature à mettre en doute les propos de son épouse, qui avait pris conseil auprès du centre LAVI avant de déposer plainte. Il en résulte que c'est à bon droit que le TMC a retenu l'existence de charges graves et suffisantes.</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l'occurrence, l'intéressé est de nationalité turque, sans papiers d'identité, sans statut légal en Suisse et sans profession, de sorte qu'il existe un risque concret de fuite ou de disparition dans la clandestinité. Quand bien même il déclare vouloir continuer à vivre avec son épouse et leurs enfants en Suisse, cette éventualité semble compromise, eu égard aux faits graves dont la précitée l'accuse et à la décision de renvoi dont l'entier de la famille fait l'objet.</w:t>
      </w:r>
    </w:p>
    <w:p>
      <w:r>
        <w:t>- 8/11 - P/4650/2026 L'absence de tout lien avec la Suisse fait ainsi craindre qu'il se soustraie à la procédure pénale, étant relevé qu'il a déclaré avoir fui la Turquie pour échapper à une procédure pénale. Aucune mesure de substitution n'est susceptible de pallier ce risque, les mesures qu'il propose reposant sur sa propre volonté et n'étant pas à même d'empêcher sa fuite mais tout au plus de la constater a posteriori.</w:t>
      </w:r>
    </w:p>
    <w:p>
      <w:r>
        <w:rPr>
          <w:b/>
        </w:rPr>
        <w:t>E. 5</w:t>
      </w:r>
    </w:p>
    <w:p>
      <w:r>
        <w:t>Le recourant conteste le risque de collusion.</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En l'espèce, une audience de confrontation a été fixée au 20 mars prochain. Il importe d'éviter que le recourant, à tout le moins d'ici là, ne puisse influencer en sa faveur les déclarations à venir de son épouse et de ses enfants, cruciales pour l'instruction en cours. Le risque de collusion demeure ainsi entier en l'état. L'interdiction de tout contact entre lui et sa famille n'apparait pas suffisante pour prévenir ce risque, eu égard à l'importance des déclarations à recueillir et aux enjeux de la procédure pour le recourant.</w:t>
      </w:r>
    </w:p>
    <w:p>
      <w:r>
        <w:t>- 9/11 - P/4650/2026</w:t>
      </w:r>
    </w:p>
    <w:p>
      <w:r>
        <w:rPr>
          <w:b/>
        </w:rPr>
        <w:t>E. 6</w:t>
      </w:r>
    </w:p>
    <w:p>
      <w:r>
        <w:t>La durée de la mise en détention ordonnée respecte le principe de la proportionnalité, eu égard à la gravité des infractions reprochées au recourant et à la peine qu'il encourt concrètement si les faits devaient être retenus par l'autorité de jugement.</w:t>
      </w:r>
    </w:p>
    <w:p>
      <w:r>
        <w:rPr>
          <w:b/>
        </w:rPr>
        <w:t>E. 7</w:t>
      </w:r>
    </w:p>
    <w:p>
      <w:r>
        <w:t>Le recours s'avère ainsi infondé et doit être rejeté.</w:t>
      </w:r>
    </w:p>
    <w:p>
      <w:r>
        <w:rPr>
          <w:b/>
        </w:rPr>
        <w:t>E. 8</w:t>
      </w:r>
    </w:p>
    <w:p>
      <w:r>
        <w:t>Le dispositif sera communiqué à C______, pour information (art. 214 al. 4 CPP).</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r>
        <w:t>- 10/11 - P/4650/2026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