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ACPR/274/2020 vom 6. April 2020</w:t>
      </w:r>
    </w:p>
    <w:p>
      <w:r>
        <w:t>GE Cour de justice, 2020-04-06, FR</w:t>
      </w:r>
    </w:p>
    <w:p>
      <w:r>
        <w:rPr>
          <w:b/>
        </w:rPr>
        <w:t xml:space="preserve">Quelle: </w:t>
      </w:r>
      <w:r>
        <w:t>https://mcp.opencaselaw.ch/entscheid/ge_gerichte_ACPR_274_2020</w:t>
      </w:r>
    </w:p>
    <w:p>
      <w:r>
        <w:t>FR: GE_GERICHTE ACPR/274/2020 du 6 avril 2020</w:t>
      </w:r>
    </w:p>
    <w:p>
      <w:r>
        <w:t>IT: GE_GERICHTE ACPR/274/2020 del 6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C'est en vain que le recourant conteste l'existence de charges suffisantes, au sens de l'art. 221 al. 1 première phrase CPP, en lien avec le risque de réitération retenu par l'autorité précédente. À ce stade, il suffit qu'il existe des raisons plausibles de le soupçonner d'avoir commis un crime ou un délit, sans procéder à une pesée complète des éléments à charge et à décharge. En l'état, les déclarations des enfants sont constantes. Celles de F______ sont corroborées par un certificat médical attestant que l'hématome constaté le 17 janvier 2020 sur sa cuisse a pu être causé par un objet contondant, soit un bâton ou un rouleau à pâtisserie, ce qui rejoint les déclarations des deux enfants. Les dires de E______ sur une condamnation de son père en Allemagne se sont révélées exactes à réception du casier judiciaire allemand, même si la durée de la détention correspondait à celle que son père dit avoir subie en Turquie. Les peurs de l'enfant vis-à-vis de son père se sont également vérifiées par le comportement insistant et inquiétant du prévenu, qui est intervenu sur le chemin de l'école pour conduire son fils au SPMi et à la police, le 28 janvier 2020, alors que l'enfant résidait en foyer, puis s'est rendu à plusieurs reprises, début mars 2020, dans l'enceinte de l'école de l'adolescent, avec un masque sanitaire pour ne pas être reconnu. Il existe dès lors des soupçons sérieux que le recourant a commis les faits qui lui sont reprochés.</w:t>
      </w:r>
    </w:p>
    <w:p>
      <w:r>
        <w:rPr>
          <w:b/>
        </w:rPr>
        <w:t>E. 3</w:t>
      </w:r>
    </w:p>
    <w:p>
      <w:r>
        <w:t>Le risque de réitération est concret.</w:t>
      </w:r>
    </w:p>
    <w:p>
      <w:r>
        <w:t>- 9/12 - P/2406/2020</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En l'espèce, le recourant a été condamné à deux reprises, en Allemagne, pour des atteintes à l'intégrité corporelle, et plusieurs fois pour des atteintes au patrimoine, notamment avec l'usage d'une arme. Il résulte en outre du dossier que l'épouse du prévenu aurait déposé plainte pénale contre lui à Genève, en 2010 déjà, pour des menaces de mort à son encontre et des lésions corporelles sur leur fils. Il existe donc bel et bien un risque de réitération important et concret.</w:t>
      </w:r>
    </w:p>
    <w:p>
      <w:r>
        <w:rPr>
          <w:b/>
        </w:rPr>
        <w:t>E. 4</w:t>
      </w:r>
    </w:p>
    <w:p>
      <w:r>
        <w:t>L'autorité de recours peut donc se dispenser d'examiner si les autres risques – alternatifs – retenus par le TMC sont également réalisés (arrêt du Tribunal fédéral 1B_322/2019 du 17 juillet 2019 consid. 3.3 et la jurisprudence citée).</w:t>
      </w:r>
    </w:p>
    <w:p>
      <w:r>
        <w:rPr>
          <w:b/>
        </w:rPr>
        <w:t>E. 5</w:t>
      </w:r>
    </w:p>
    <w:p>
      <w:r>
        <w:t>Le recourant propose des mesures de substitution.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CPP, qui prévoit que le tribunal compétent ordonne une ou plusieurs</w:t>
      </w:r>
    </w:p>
    <w:p>
      <w:r>
        <w:t>- 10/12 - P/2406/2020 mesures moins sévères en lieu et place de la détention si ces mesures permettent d'atteindre le même but que la détention. La liste des mesures de substitution énoncée n'est pas exhaustive (arrêt du Tribunal fédéral 1B_654/2011 du 7 décembre 2011 consid. 4.2).</w:t>
      </w:r>
    </w:p>
    <w:p>
      <w:r>
        <w:rPr>
          <w:b/>
        </w:rPr>
        <w:t>E. 5.2</w:t>
      </w:r>
    </w:p>
    <w:p>
      <w:r>
        <w:t>En l'occurrence, la pose d'un bracelet électronique, l'obligation de se présenter à un poste de police et le versement de sûretés, qui viseraient à pallier un risque de fuite, sont inopérants s'agissant du risque de réitération retenu. L'obligation d'approcher à moins de 100 mètres de ses enfants et l'obligation de respecter les décisions civiles, proposées pour pallier un éventuel risque de collusion, sont largement insuffisantes à pallier le risque concret et important de réitération retenu en l'espèce. Au moment de la dénonciation des faits par le SPMi, le 21 janvier 2020, l'éloignement des enfants du domicile familial paraissait suffisant, de sorte que le recourant n'a pas été arrêté après son audition par la police le 28 janvier 2020. Depuis lors, il s'est rendu plusieurs fois, début mars 2020, dans l'enceinte du cycle d'orientation fréquenté par son fils. Que le TPAE ait, à la suite de ces événements, prononcé l'ordonnance d'éloignement ne dispensait pas les autorités pénales d'examiner si cette mesure était suffisante à pallier le risque de réitération. En l'occurrence, tel n'est pas le cas, compte tenu du risque important de récidive retenu ci-dessus et du bien juridiquement protégé, soit l'intégrité physique de deux enfants.</w:t>
      </w:r>
    </w:p>
    <w:p>
      <w:r>
        <w:rPr>
          <w:b/>
        </w:rPr>
        <w:t>E. 6</w:t>
      </w:r>
    </w:p>
    <w:p>
      <w:r>
        <w:t>Le recours s'avère ainsi infondé et doit être rejeté.</w:t>
      </w:r>
    </w:p>
    <w:p>
      <w:r>
        <w:rPr>
          <w:b/>
        </w:rPr>
        <w:t>E. 7</w:t>
      </w:r>
    </w:p>
    <w:p>
      <w:r>
        <w:t>Le recourant, qui succombe, supportera les frais envers l'État, qui seront fixés en totalité à CHF 900.- (art. 428 al. 1 CPP et 13 al. 1 du Règlement fixant le tarif des frais en matière pénale, RTFMP ; E 4 10.03). * * * * *</w:t>
      </w:r>
    </w:p>
    <w:p>
      <w:r>
        <w:t>- 11/12 - P/2406/2020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