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ACPR/274/2017 vom 10. April 2017</w:t>
      </w:r>
    </w:p>
    <w:p>
      <w:r>
        <w:t>GE Cour de justice, 2017-04-10, FR</w:t>
      </w:r>
    </w:p>
    <w:p>
      <w:r>
        <w:rPr>
          <w:b/>
        </w:rPr>
        <w:t xml:space="preserve">Quelle: </w:t>
      </w:r>
      <w:r>
        <w:t>https://mcp.opencaselaw.ch/entscheid/ge_gerichte_ACPR_274_2017</w:t>
      </w:r>
    </w:p>
    <w:p>
      <w:r>
        <w:t>FR: GE_GERICHTE ACPR/274/2017 du 10 avril 2017</w:t>
      </w:r>
    </w:p>
    <w:p>
      <w:r>
        <w:t>IT: GE_GERICHTE ACPR/274/2017 del 10 aprile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t>- 4/10 - P/970/2015</w:t>
      </w:r>
    </w:p>
    <w:p>
      <w:r>
        <w:rPr>
          <w:b/>
        </w:rPr>
        <w:t>E. 2</w:t>
      </w:r>
    </w:p>
    <w:p>
      <w:r>
        <w:t>La recourante, sans revenir explicitement sur les charges retenues contre elle, paraît tout de même nier leur intensité à ce stade, au motif qu'elle aurait déposé plainte pénale contre ses accusateurs et que la configuration procédurale serait par conséquent celle de sa parole contre les leurs.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l'occurrence, la contestation de la recourante est forfaitaire et vague. L'on ne voit pas pourquoi l'autorité de recours devrait, au stade du renvoi en jugement, faire l'examen, que la prévenue s'épargne, des trente-huit chefs d'accusation dont elle doit répondre. Il suffit de renvoyer, sur ce point, aux développements du premier juge, ainsi qu'à ceux, très circonstanciés, du Procureur dans sa requête de mise en détention de sûreté, qui se réfèrent, en les énonçant, aux indices matériels qui appuient l'accusation et qui sont amplement documentés au dossier (pages web ou captures d'écran, photos d'inscriptions indélébiles sur portes ou parois, commandements de payer, etc.). À cet égard, la forme du « stalking », soit la persécution obsessionnelle d’une personne, que ne sont pas sans évoquer certains aspects du comportement de la prévenue, est qualifiée de contrainte (ATF 129 IV 262). Les charges sont donc suffisantes et n'ont pas faibli maintenant que l'instruction a été clôturée.</w:t>
      </w:r>
    </w:p>
    <w:p>
      <w:r>
        <w:rPr>
          <w:b/>
        </w:rPr>
        <w:t>E. 2.3</w:t>
      </w:r>
    </w:p>
    <w:p>
      <w:r>
        <w:t>Même si le sort de certaines accusations dépendait du poids accordé à la parole de l'un contre la parole de l'autre, il ne s'ensuivrait pas encore d'insuffisance de charges. En effet, le juge de la détention doit tout au plus motiver ce qui, dans cette configuration, rend la parole des plaignants plus crédible que celle du prévenu (ATF 137 IV 122 consid. 3.3 p. 127; arrêt du Tribunal fédéral 1B_203/2016 du 17 juin</w:t>
      </w:r>
    </w:p>
    <w:p>
      <w:r>
        <w:t>- 5/10 - P/970/2015 2016 consid. 3.3.3). Or, les plaignants ont été entendus, de façon détaillée, sans que des incohérences ou des contradictions n'en ressortent – pas plus que de leurs plaintes –, y compris là où leurs dépositions ne sont pas étayées par des indices matériels. Leur crédibilité n'est pas entachée du simple fait que la recourante a déposé plainte pénale contre eux.</w:t>
      </w:r>
    </w:p>
    <w:p>
      <w:r>
        <w:rPr>
          <w:b/>
        </w:rPr>
        <w:t>E. 3</w:t>
      </w:r>
    </w:p>
    <w:p>
      <w:r>
        <w:t>La recourante soutient qu'il ne serait pas démontré qu'elle compromettrait sérieusement la sécurité d'autrui par des crimes ou des délits graves après avoir déjà commis des infractions du même genre.</w:t>
      </w:r>
    </w:p>
    <w:p>
      <w:r>
        <w:rPr>
          <w:b/>
        </w:rPr>
        <w:t>E. 3.1</w:t>
      </w:r>
    </w:p>
    <w:p>
      <w:r>
        <w:t>Selon l'art. 221 al. 1 let. c CPP un risque de récidive peut être admis à trois conditions :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(arrêt du Tribunal fédéral 1B_373/2016 du 23 novembre 2016 consid. 2.5 destiné à la publication).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(arrêt du Tribunal fédéral précité consid. 2.6 et 2.7, renvoyant aux arrêts 1B_126/2011 du 6 avril 2011 consid. 3.7 et 1B_538/20111 du 17 octobre 2011 consid. 3.4).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(arrêt du Tribunal fédéral 1B_373/2016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w:t>
      </w:r>
    </w:p>
    <w:p>
      <w:r>
        <w:t>- 6/10 - P/970/2015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du Tribunal fédéral précité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137 IV 84 consid. 3.2 p. 86; arrêt du Tribunal fédéral 1B_6/2017 du 8 février 2017 consid. 3.1 et les références citées).</w:t>
      </w:r>
    </w:p>
    <w:p>
      <w:r>
        <w:rPr>
          <w:b/>
        </w:rPr>
        <w:t>E. 3.2</w:t>
      </w:r>
    </w:p>
    <w:p>
      <w:r>
        <w:t>À la lumière de ces principes, le premier juge pouvait à bon droit opposer un risque de réitération à la recourante. Loin d'être "contestables", les conclusions du rapport d'hospitalisation du 22 mars 2017 montrent, sans ambiguïté pour l'analyse du risque ici considéré, que la recourante est rétive à toute prise de conscience et à toute forme de coopération avec les autorités; elles expliquent, par conséquent, ce qui a conduit à l'échec des mesures de substitution, en vigueur entre en 2015 et 2016 et censées pallier – déjà à l'époque (pièce PP 80'054) – le risque de réitération. Or, les actes poursuivis ont repris dès le mois de mars 2015 (pièce PP 80'055). Si elle était libérée à nouveau, la recourante, aujourd'hui sans emploi – elle n'exprime qu'un souhait à cet égard – et sans logement – elle se borne à qualifier cette situation de "logique", alors que le Ministère public lui reproche sans être contredit d'avoir tu ses lieux de résidence entre sa libération et sa réincarcération –, se trouverait placée dans une situation plus dégradée que celle qui était la sienne après sa mise en liberté, le 23 février 2015, et qui ne l'avait pas empêchée de faire fi des injonctions des autorités pénales. Pour le surplus, ce n'est pas le lieu de déterminer si le refus d'auditionner l'expert – audition qu'une partie plaignante, mais non la recourante, avait demandée – ou si le collationnement d'éléments épars observés à l'occasion du séjour à Curabilis entachent la force probante du diagnostic donné pour probable par les HUG et la préconisation d'une mesure en milieu pénitentiaire : ces aspects relèvent de l'autorité de jugement.</w:t>
      </w:r>
    </w:p>
    <w:p>
      <w:r>
        <w:t>- 7/10 - P/970/2015</w:t>
      </w:r>
    </w:p>
    <w:p>
      <w:r>
        <w:rPr>
          <w:b/>
        </w:rPr>
        <w:t>E. 4</w:t>
      </w:r>
    </w:p>
    <w:p>
      <w:r>
        <w:t>Le risque de réitération suffisant à fonder le placement en détention de sûreté, il n'est pas nécessaire d'examiner ce qu'il en est des autres risques examinés par le premier juge.</w:t>
      </w:r>
    </w:p>
    <w:p>
      <w:r>
        <w:rPr>
          <w:b/>
        </w:rPr>
        <w:t>E. 5</w:t>
      </w:r>
    </w:p>
    <w:p>
      <w:r>
        <w:t>La recourante ne prétend pas, à juste titre, que des mesures de substitution entreraient en considération. Comme on l'a vu ci-dessus, après l'échec de celles ordonnées en 2015, on ne voit pas quelles mesures plus adéquates qu'elles, mais moins incisives que la détention, pourraient être raisonnablement mises en place.</w:t>
      </w:r>
    </w:p>
    <w:p>
      <w:r>
        <w:rPr>
          <w:b/>
        </w:rPr>
        <w:t>E. 6</w:t>
      </w:r>
    </w:p>
    <w:p>
      <w:r>
        <w:t>La recourante estime disproportionnée la durée de son incarcération.</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arrêts du Tribunal fédéral 1B_750/2012 du 16 janvier 2013 consid. 2, 1B_624/2011 du 29 novembre 2011 consid. 3.1 et 1B_9/2011 du 7 février 2011 consid. 7.2). Même si les accusations sont contestées, le juge de la détention peut tenir compte de la peine prévisible pour l'ensemble des faits reprochés (ACPR/551/2014 avec référence à l'arrêt du Tribunal fédéral 1B_230/2014 du 16 juillet 2014 consid. 2.2).</w:t>
      </w:r>
    </w:p>
    <w:p>
      <w:r>
        <w:rPr>
          <w:b/>
        </w:rPr>
        <w:t>E. 6.2</w:t>
      </w:r>
    </w:p>
    <w:p>
      <w:r>
        <w:t>En l'occurrence, la recourante se trompe lourdement si elle croit que "la plupart" des infractions énoncées dans l'acte d'accusation, hors l'abus de confiance (cf. ch. 1 de l'acte d'accusation), ne seraient passibles que de jours-amende. La dénonciation calomnieuse (ch. 22 et 23 de l'acte d'accusation) est un crime (art. 10 al. 2 CP), passible comme tel d'une peine privative de liberté d'au moins six mois (art. 40 CP). Les lésions corporelles (ch. 2 de l'acte d'accusation), les dommages à la propriété (ch. 3 et 4 de l'acte d'accusation), la violation de domicile (ch. 5 de l'acte d'accusation), les menaces (ch. 6. à 9 de l'acte d'accusation), la tentative de contrainte (ch. 15 à 21 de l'acte d'accusation), la calomnie (ch. 24 à 35 de l'acte d'accusation), les mauvais traitements infligés aux animaux (ch. 37 de l'acte d'accusation) sont des délits, passibles comme tels de peines privatives de liberté jusqu'à trois ans (art. 10 al. 3 CP). Considérées ou non avec les règles sur le concours d'infractions (art. 49 al. 1 CP), ces accusations ne permettent pas de retenir que, si la recourante devait en être reconnue coupable de tout ou partie le 7 juin 2017, une peine concrètement inférieure à la détention déjà subie lui serait infligée. La perspective d'un sursis n'est pas d'emblée évidente.</w:t>
      </w:r>
    </w:p>
    <w:p>
      <w:r>
        <w:rPr>
          <w:b/>
        </w:rPr>
        <w:t>E. 6.3</w:t>
      </w:r>
    </w:p>
    <w:p>
      <w:r>
        <w:t>C'est également à tort que la recourante paraît croire que la perspective d'une mesure, au sens de l'art. 59 CP, empêcherait la détention à des fins de sûreté. Les</w:t>
      </w:r>
    </w:p>
    <w:p>
      <w:r>
        <w:t>- 8/10 - P/970/2015 mesures thérapeutiques institutionnelles selon cette disposition s'effectuent dans un milieu fermé tant que subsiste un danger de récidive (art. 59 al. 3 CP); elles peuvent durer 5 ans, prolongeables de la même durée (cf. al. 4). Dans ce sens, elles sont privatives de liberté et doivent donc être prises en compte dans l'examen de la durée de la peine prévisible (arrêt du Tribunal fédéral 1B_20/2015 du 18 février 2015 consid. 2.3). Au vu des éléments recueillis à la procédure et du risque de récidive retenu ci-dessus, il n'est cependant pas contestable que la détention en milieu fermé de la recourante se justifie aussi dans l'éventualité du prononcé d'une mesure de ce genre (ACPR/283/2016 du 16 mai 2016 consid. 4.2.1; ACPR/413/2013 du 30 août 2013 consid. 5).</w:t>
      </w:r>
    </w:p>
    <w:p>
      <w:r>
        <w:rPr>
          <w:b/>
        </w:rPr>
        <w:t>E. 7</w:t>
      </w:r>
    </w:p>
    <w:p>
      <w:r>
        <w:t>Le recours s'avère ainsi infondé et doit être rejeté.</w:t>
      </w:r>
    </w:p>
    <w:p>
      <w:r>
        <w:rPr>
          <w:b/>
        </w:rPr>
        <w:t>E. 8</w:t>
      </w:r>
    </w:p>
    <w:p>
      <w:r>
        <w:t>La recourante, qui succombe, supportera les frais envers l'État, qui comprendront un émolument de CHF 900.- (art. 428 al. 1 CPP et 13 al. 1 du Règlement fixant le tarif des frais en matière pénale, RTFMP ; E 4 10.03). * * * * *</w:t>
      </w:r>
    </w:p>
    <w:p>
      <w:r>
        <w:t>- 9/10 - P/970/2015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