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ACPR/273/2023 vom 3. Januar 2023</w:t>
      </w:r>
    </w:p>
    <w:p>
      <w:r>
        <w:t>GE Cour de justice, 2023-01-03, FR</w:t>
      </w:r>
    </w:p>
    <w:p>
      <w:r>
        <w:rPr>
          <w:b/>
        </w:rPr>
        <w:t xml:space="preserve">Quelle: </w:t>
      </w:r>
      <w:r>
        <w:t>https://mcp.opencaselaw.ch/entscheid/ge_gerichte_ACPR_273_2023</w:t>
      </w:r>
    </w:p>
    <w:p>
      <w:r>
        <w:t>FR: GE_GERICHTE ACPR/273/2023 du 3 janvier 2023</w:t>
      </w:r>
    </w:p>
    <w:p>
      <w:r>
        <w:t>IT: GE_GERICHTE ACPR/273/2023 del 3 gennaio 2023</w:t>
      </w:r>
    </w:p>
    <w:p>
      <w:pPr>
        <w:pStyle w:val="Heading2"/>
      </w:pPr>
      <w:r>
        <w:t>Erwägungen</w:t>
      </w:r>
    </w:p>
    <w:p>
      <w:r>
        <w:rPr>
          <w:b/>
        </w:rPr>
        <w:t>E. 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des plaignantes qui, parties la procédure (art. 104 al. 1 let. b CPP), ont en principe qualité pour agir.</w:t>
      </w:r>
    </w:p>
    <w:p>
      <w:r>
        <w:rPr>
          <w:b/>
        </w:rPr>
        <w:t>E. 2</w:t>
      </w:r>
    </w:p>
    <w:p>
      <w:r>
        <w:t>Les recourantes reprochent au Ministère public de ne pas être entré en matière sur leur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w:t>
      </w:r>
    </w:p>
    <w:p>
      <w:r>
        <w:t>- 7/14 - P/7655/2022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2.2.1. 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ou calomnie, il faut que l'auteur s'adresse à un tiers. Est en principe considérée comme tiers toute personne autre que l'auteur et l'objet des propos qui portent atteinte à l'honneur (ATF 86 IV 209). 2.2.2. La calomnie (art. 174 CP) est une forme qualifiée de diffamation, dont elle se distingue par le fait que les allégations propagées sont fausses (arrêt du Tribunal fédéral 6B_1215/2020 du 22 avril 2021 consid. 3.1). 2.2.3.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t>- 8/14 - P/7655/2022 2.2.4. En l'espèce, il est indéniable que les accusations contenues dans le pli du 20 février 2022 selon lesquelles les recourantes auraient établi un "faux testament" dans le but de "s'accaparer" la fortune de leur frère est attentatoire à leur honneur. Le fait de n'avoir été adressé qu'à une autorité judiciaire, dont les collaborateurs sont soumis au secret de fonction, n'en supprime pas le caractère diffamatoire. Cela étant, il n'est pas contesté que ces propos ont été proférés après que l'intéressé a appris que les recourantes avaient remis un testament à la Justice de paix, lequel les instituaient héritières de l'intégralité de la fortune de K______. Les allégations n'avaient donc, à l'évidence, pas pour but de dire du mal des recourantes mais de justifier, auprès du juge civil, la requête formulée pour le compte de sa mère, héritière légale du prénommé. Au surplus, l'accusation litigieuse a été tenue uniquement dans le cadre de la procédure civile, devant des personnes informées et conscientes des circonstances particulières dans lesquelles les assertions étaient formulées, à savoir les relations particulièrement conflictuelles entre les héritiers depuis plusieurs années, et soumises à une obligation de secret de fonction. Ainsi, on peut retenir que les déclarations litigieuses du mis en cause pouvaient entrer dans le cadre d’allégations en justice, proportionnées au but poursuivi, sans excéder la mesure admissible (art. 14 CP). C'est donc à bon droit que le Ministère public a décidé de ne pas entrer en matière sur les faits dénoncés de diffamation et a fortiori de calomnie. Aucun acte d'instruction ne serait de nature à modifier les conclusions qui précèdent. Les recourantes n'en disent mot, d'ailleurs. 2.2.5. Les recourantes reprochent au mis en cause d'avoir tenu, à leur avocat à elles, des propos attentatoires à leur honneur dans le cadre du courriel du 12 mars 2022. Force est tout d'abord de constater que l'avocat des recourantes ne revêt pas la qualité de "confident nécessaire" du mis en cause (cf. ATF 145 IV 462 consid. 4.3.3, à teneur duquel l'avocat pouvant, à certaines conditions, être considéré comme le confident de son propre client). Il n'est pas non plus un tiers au sens des art. 173 ss CP mais doit être considéré comme un intermédiaire, dès lors que les recourantes l'ont constitué au soutien de leurs intérêts, avec élection de domicile (cf. ACPR/576/2022 consid. 4.4.). Ledit conseil a correspondu avec le mis en cause en tant que représentant des recourantes. Le mis en cause ne pouvait d'ailleurs pas faire autrement qu'adresser son courriel audit conseil, celui-ci lui ayant au demeurant expressément demandé de respecter strictement l'élection de domicile en son Étude. Par conséquent, à défaut de "tiers" à qui ces propos ont été relatés, la diffamation est exclue.</w:t>
      </w:r>
    </w:p>
    <w:p>
      <w:r>
        <w:t>- 9/14 - P/7655/2022 2.2.6. Enfin, s'agissant des courriels du 12 mai 2022, le mis en cause soutient qu'ils auraient été adressés à des destinataires en France. L'incompétence des autorités pénales suisses à raison du lieu est constitutive d'un empêchement définitif de procéder au sens de l'art. 310 al. 1 let. b CPP (arrêts du Tribunal fédéral 6B_1355/2018 du 29 février 2019 consid. 4.5.1; 6B_127/2013 du</w:t>
      </w:r>
    </w:p>
    <w:p>
      <w:r>
        <w:rPr>
          <w:b/>
        </w:rPr>
        <w:t>E. 3</w:t>
      </w:r>
    </w:p>
    <w:p>
      <w:r>
        <w:t>Justifiée, l'ordonnance querellée sera confirmée.</w:t>
      </w:r>
    </w:p>
    <w:p>
      <w:r>
        <w:rPr>
          <w:b/>
        </w:rPr>
        <w:t>E. 4</w:t>
      </w:r>
    </w:p>
    <w:p>
      <w:r>
        <w:t>Les recourantes, qui succombent, supporteront les frais envers l'État, fixés en totalité à CHF 1'200.- (art. 428 al. 1 CPP et 13 al. 1 du Règlement fixant le tarif des frais en matière pénale, RTFMP ; E 4 10.03). * * * * *</w:t>
      </w:r>
    </w:p>
    <w:p>
      <w:r>
        <w:t>- 13/14 - P/7655/2022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