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ACPR/272/2026 vom 17. März 2026</w:t>
      </w:r>
    </w:p>
    <w:p>
      <w:r>
        <w:t>GE Cour de justice, 2026-03-17, FR</w:t>
      </w:r>
    </w:p>
    <w:p>
      <w:r>
        <w:rPr>
          <w:b/>
        </w:rPr>
        <w:t xml:space="preserve">Quelle: </w:t>
      </w:r>
      <w:r>
        <w:t>https://mcp.opencaselaw.ch/entscheid/ge_gerichte_ACPR_272_2026</w:t>
      </w:r>
    </w:p>
    <w:p>
      <w:r>
        <w:t>FR: GE_GERICHTE ACPR/272/2026 du 17 mars 2026</w:t>
      </w:r>
    </w:p>
    <w:p>
      <w:r>
        <w:t>IT: GE_GERICHTE ACPR/272/2026 del 17 marzo 2026</w:t>
      </w:r>
    </w:p>
    <w:p>
      <w:pPr>
        <w:pStyle w:val="Heading2"/>
      </w:pPr>
      <w:r>
        <w:t>Erwägungen</w:t>
      </w:r>
    </w:p>
    <w:p>
      <w:r>
        <w:rPr>
          <w:b/>
        </w:rPr>
        <w:t>E. 24</w:t>
      </w:r>
    </w:p>
    <w:p>
      <w:r>
        <w:t>octobre, 9 décembre 2025 et 6 février 2026 de la Chambre de céans – aucun élément nouveau pertinent y relatif n’étant survenu depuis lors;  le risque de collusion reste tangible. Quand bien même la jeune C______ a été auditionnée pour la seconde fois par la police, le 16 février 2026, selon le protocole EVIG, il n’en demeure pas moins qu’au vu des liens familiaux et du comportement du recourant au préjudice de l’intégrité sexuelle de sa petite-fille, il est indispensable d’éviter qu’il ne tente de la contacter et de l’influencer et ne compromette ainsi la manifestation de la vérité. On ne saurait se fonder, comme le fait le recourant, sur des extraits de cette seconde audition EVIG – pas encore transcrite –, pour retenir que C______ mettrait hors de cause son grand-père, alors même que lors de sa première audition EVIG, elle avait expressément indiqué qu’il lui avait touché les seins et, notamment, pris sa main (à elle) pour lui toucher le sexe. Le risque de collusion est d'autant plus intense que la jeune fille, âgée de 17 ans, demeure influençable au vu de ses liens avec son grand-père;  ce risque perdure également mais dans une moindre mesure – pouvant, ici, être pallié par une mesure de substitution –,vis-à-vis de D______, laquelle a fait part de son souhait de parler des révélations de sa fille avec le prévenu;  le risque de collusion étant suffisant, à ce stade, à faire échec au recours, il n'y a pas lieu de s’attarder sur les développements du recourant en lien avec le risque de réitération (arrêts du Tribunal fédéral 7B_188/2024 du 12 mars 2024 consid. 6.3.1 et 1B_197/2023 du 4 mai 2023 consid. 4.5);  à relever que l’interdiction de périmètre et/ou de contact avec les parties plaignantes ne saurait constituer un palliatif suffisant au risque de collusion, pour les mêmes raisons que celles invoquées dans les arrêts susmentionnés, une telle interdiction – au demeurant difficile à contrôler – étant insuffisante compte tenu de l’intensité du risque de collusion, à ce stade;  le recourant invoque une violation du principe de la célérité et de la proportionnalité;  l'art. 29 al. 1 Cst. prévoit que toute personne a droit, dans une procédure judiciaire ou administrative, à ce que sa cause soit traitée équitablement et jugée dans un délai</w:t>
      </w:r>
    </w:p>
    <w:p>
      <w:r>
        <w:t>- 7/10 - P/21805/2025 raisonnable.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 le Ministère public annonce que la retranscription de l’audition EVIG, qui a eu lieu le 16 février 2026, est en cours de rédaction et devrait lui parvenir prochainement, ce qui lui permettra de confronter le recourant et les plaignants à ces nouvelles déclarations, avant de décider de la suite à donner à la procédure. Certes, la Chambre de céans, dans son arrêt du 6 février 2026, escomptait que la retranscription se ferait à plus brève échéance. Il n'en demeure pas moins que la durée de la détention provisoire du recourant à ce jour (moins de 6 mois), demeure proportionnée à la peine concrètement encourue, si l'ensemble des faits qui lui sont reprochés devait être confirmé;  le recours s'avère ainsi infondé et doit être rejeté;  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w:t>
      </w:r>
    </w:p>
    <w:p>
      <w:r>
        <w:t>- 8/10 - P/21805/2025 frais de l'État, notamment contre des décisions de détention provisoire (arrêt du Tribunal fédéral 1B_516/2020 du 3 novembre 2020 consid. 5.1);  en l'occurrence, quand bien même le recourant succombe, on peut encore admettre que l'exercice du présent recours ne procède pas d'un abus;  l'indemnité du défenseur d'office sera fixée à la fin de la procédure (art. 135 al. 2 CPP). * * * * *</w:t>
      </w:r>
    </w:p>
    <w:p>
      <w:r>
        <w:t>- 9/10 - P/21805/2025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