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ACPR/26/2021 vom 21. Dezember 2020</w:t>
      </w:r>
    </w:p>
    <w:p>
      <w:r>
        <w:t>GE Cour de justice, 2020-12-21, FR</w:t>
      </w:r>
    </w:p>
    <w:p>
      <w:r>
        <w:rPr>
          <w:b/>
        </w:rPr>
        <w:t xml:space="preserve">Quelle: </w:t>
      </w:r>
      <w:r>
        <w:t>https://mcp.opencaselaw.ch/entscheid/ge_gerichte_ACPR_26_2021</w:t>
      </w:r>
    </w:p>
    <w:p>
      <w:r>
        <w:t>FR: GE_GERICHTE ACPR/26/2021 du 21 décembre 2020</w:t>
      </w:r>
    </w:p>
    <w:p>
      <w:r>
        <w:t>IT: GE_GERICHTE ACPR/26/2021 del 21 dicembre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l'existence de charges suffisantes, de sorte qu'il n'y a pas lieu de s'y attarder.</w:t>
      </w:r>
    </w:p>
    <w:p>
      <w:r>
        <w:rPr>
          <w:b/>
        </w:rPr>
        <w:t>E. 3</w:t>
      </w:r>
    </w:p>
    <w:p>
      <w:r>
        <w:t>Il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En l'espèce, il est établi que le recourant est de nationalité française, domicilié en France avec sa compagne et leur enfant et a de la famille à l'étranger. Eu égard à la gravité des infractions reprochées et à la peine encourue, il existe un risque concret qu'il soit tenté de se soustraire à la justice s'il était remis en liberté,</w:t>
      </w:r>
    </w:p>
    <w:p>
      <w:r>
        <w:t>- 5/9 - P/10931/2019 étant précisé que la France n'extrade pas ses ressortissants. Son désir de vivre avec sa fiancée et leur enfant en France ainsi que de reprendre une activité professionnelle n'est pas suffisant pour pallier le risque de fuite, ce d'autant que son projet de travail à sa sortie de prison n'est nullement étayé. Le recourant semble par ailleurs avoir encore des sommes d'argent sur ses comptes en France, qu'il pourrait utiliser pour "recommencer à zéro" à l'étranger. Le dépôt de ses papiers d'identité n'empêcherait pas sa fuite à l'étranger par voie terrestre. Quant à sa présentation régulière à un poste de police à Genève, elle n'aurait pas pour effet d'empêcher sa fuite mais seulement de la constater après coup. S'agissant enfin du dépôt d'une caution de CHF 25'000.-, elle n'apparaît pas suffisamment dissuasive par rapport aux enjeux (montants obtenus frauduleusement par le prévenu et peine encourue). Elle doit en outre être accueillie avec circonspection, compte tenu du fait que l'entier des montants acquis frauduleusement n'a semble-t-il pas été récupéré.</w:t>
      </w:r>
    </w:p>
    <w:p>
      <w:r>
        <w:rPr>
          <w:b/>
        </w:rPr>
        <w:t>E. 4</w:t>
      </w:r>
    </w:p>
    <w:p>
      <w:r>
        <w:t>Le recourant conteste le risque de réitération.</w:t>
      </w:r>
    </w:p>
    <w:p>
      <w:r>
        <w:rPr>
          <w:b/>
        </w:rPr>
        <w:t>E. 4.1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 S'agissant des infractions contre le patrimoine, si celles-ci perturbent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(ATF 146 IV 136).</w:t>
      </w:r>
    </w:p>
    <w:p>
      <w:r>
        <w:rPr>
          <w:b/>
        </w:rPr>
        <w:t>E. 4.2</w:t>
      </w:r>
    </w:p>
    <w:p>
      <w:r>
        <w:t>En l'occurrence, le recourant est principalement soupçonné d'infractions patrimoniales dont la gravité est certaine, sur de longues périodes et au préjudice de nombreux lésés. Il a en outre déjà été condamné en France pour des faits similaires. Sa volonté délictueuse s'est donc intensifiée. S'il dit vouloir dorénavant occuper un</w:t>
      </w:r>
    </w:p>
    <w:p>
      <w:r>
        <w:t>- 6/9 - P/10931/2019 travail régulier à sa sortie – au demeurant nullement étayé –, rien n'indique qu'il ne commettra pas à nouveau des infractions patrimoniales, ce risque étant même renforcé par sa situation personnelle. L'intensité des atteintes patrimoniales causées par le prévenu palliant largement l'absence de mise en danger de la sécurité publique, il y a lieu d'admettre un risque de récidive. L'obligation de travailler ou l'interdiction faite au prévenu d'effectuer des demandes de crédit pendant la durée de la procédure sont non seulement insuffisantes pour pallier ledit risque mais encore seraient invérifiables.</w:t>
      </w:r>
    </w:p>
    <w:p>
      <w:r>
        <w:rPr>
          <w:b/>
        </w:rPr>
        <w:t>E. 5</w:t>
      </w:r>
    </w:p>
    <w:p>
      <w:r>
        <w:t>L'admission des deux risques précités dispense d'examiner ce qu'il en serait du risque de collusion, étant relevé que l'instruction semble être à bout touchant et que le Ministère public a semble-t-il renoncé à envoyer une commission rogatoire en France aux fins de séquestrer les sommes d'argent sur les comptes du prévenu dans ce pays.</w:t>
      </w:r>
    </w:p>
    <w:p>
      <w:r>
        <w:rPr>
          <w:b/>
        </w:rPr>
        <w:t>E. 6</w:t>
      </w:r>
    </w:p>
    <w:p>
      <w:r>
        <w:t>La durée de la détention provisoire subie jusqu'ici demeure proportionnée à la peine menace et concrète encourue si l'ensemble des préventions retenues venait à être confirmée.</w:t>
      </w:r>
    </w:p>
    <w:p>
      <w:r>
        <w:rPr>
          <w:b/>
        </w:rPr>
        <w:t>E. 7</w:t>
      </w:r>
    </w:p>
    <w:p>
      <w:r>
        <w:t>Le recourant reproche au Ministère public une violation du principe de la célérité.</w:t>
      </w:r>
    </w:p>
    <w:p>
      <w:r>
        <w:rPr>
          <w:b/>
        </w:rPr>
        <w:t>E. 7.1</w:t>
      </w:r>
    </w:p>
    <w:p>
      <w:r>
        <w:t>À teneur de l'art. 5 al. 1 CPP, les autorités pénales engagent les procédures pénales sans délai et les mènent à terme sans retard injustifié. Lorsque le prévenu est détenu, la procédure est conduite en priorité (art. 5 al. 2 CPP).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Une éventuelle violation du principe de la célérité ne conduirait pas obligatoirement à une libération, mais tout au plus à une constatation formelle dans le dispositif à rendre, avec des conséquences sur les frais de la cause (ATF 137 IV 92 consid. 3 p. 96).</w:t>
      </w:r>
    </w:p>
    <w:p>
      <w:r>
        <w:rPr>
          <w:b/>
        </w:rPr>
        <w:t>E. 7.2</w:t>
      </w:r>
    </w:p>
    <w:p>
      <w:r>
        <w:t>En l'espèce, l'instruction ne semble pas avoir connu de temps mort. Elle a nécessité l'examen par la police de nombreuses données informatiques. La</w:t>
      </w:r>
    </w:p>
    <w:p>
      <w:r>
        <w:t>- 7/9 - P/10931/2019 collaboration du recourant n'a pas non plus été très bonne selon le Ministère public – non contredit sur ce point –. Le fait que le recourant n'ait été entendu qu'à quatre reprises n'est donc pas déterminant. Quant à l'envoi d'une commission rogatoire en France, on a vu qu'il n'était semble-t-il plus à l'ordre du jour, de sorte que le recourant ne saurait se prévaloir de ce prétendu manquement. La seule durée de sa détention provisoire à ce jour, soit presque un an, ne signifie enfin pas que le Ministère public ait fait preuve d'un manque de célérité dans la conduite de son instruction et se confond ainsi avec le principe de la proportionnalité, dont on a vu qu'il était encore respecté.</w:t>
      </w:r>
    </w:p>
    <w:p>
      <w:r>
        <w:rPr>
          <w:b/>
        </w:rPr>
        <w:t>E. 8</w:t>
      </w:r>
    </w:p>
    <w:p>
      <w:r>
        <w:t>Le recours s'avère ainsi infondé et sera rejeté.</w:t>
      </w:r>
    </w:p>
    <w:p>
      <w:r>
        <w:rPr>
          <w:b/>
        </w:rPr>
        <w:t>E. 9</w:t>
      </w:r>
    </w:p>
    <w:p>
      <w:r>
        <w:t>Le recourant, qui succombe, supportera les frais envers l'État, qui comprendront un émolument de CHF 900.- (art. 428 al. 1 CPP et 13 al. 1 du Règlement fixant le tarif des frais en matière pénale, RTFMP; E 4 10.03). * * * * *</w:t>
      </w:r>
    </w:p>
    <w:p>
      <w:r>
        <w:t>- 8/9 - P/10931/2019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