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ACPR/26/2020 vom 23. Dezember 2019</w:t>
      </w:r>
    </w:p>
    <w:p>
      <w:r>
        <w:t>GE Cour de justice, 2019-12-23, FR</w:t>
      </w:r>
    </w:p>
    <w:p>
      <w:r>
        <w:rPr>
          <w:b/>
        </w:rPr>
        <w:t xml:space="preserve">Quelle: </w:t>
      </w:r>
      <w:r>
        <w:t>https://mcp.opencaselaw.ch/entscheid/ge_gerichte_ACPR_26_2020</w:t>
      </w:r>
    </w:p>
    <w:p>
      <w:r>
        <w:t>FR: GE_GERICHTE ACPR/26/2020 du 23 décembre 2019</w:t>
      </w:r>
    </w:p>
    <w:p>
      <w:r>
        <w:t>IT: GE_GERICHTE ACPR/26/2020 del 23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Le risque de réitération a été retenu tant par la Chambre de céans, dans ses deux précédents arrêts, que par le Tribunal fédéral (arrêt 1B_480/2019 précité, consid. 4.3). Il y a dès lors lieu de se référer à ces motivations (ATF 114 Ia 281 consid. 4c p. 285; 103 Ia 407 consid. 3a p. 409 s.; arrêts 1B_149/2010 du 1er juin 2010 consid. 1.3; 1B_22/2009 du 16 février 2009 consid. 2.1), aucun événement important n'ayant eu lieu dans l'intervalle. Le fait que la recourante ait été suivie par une psychothérapeute en prison durant six mois – ce qu'elle ne documente au demeurant pas – n'est pas de nature à amoindrir le risque de réitération, l'expert ayant retenu qu'une psychothérapie d'au moins une année était nécessaire pour que des changements dans le fonctionnement psychique de l'intéressée apparaissent. Cette condition n'est ainsi, en l'état, pas réunie.</w:t>
      </w:r>
    </w:p>
    <w:p>
      <w:r>
        <w:rPr>
          <w:b/>
        </w:rPr>
        <w:t>E. 3</w:t>
      </w:r>
    </w:p>
    <w:p>
      <w:r>
        <w:t>La recourante estime que la psychothérapie ambulatoire préconisée par l'expert pourrait pallier l'éventuel risque de réitération.</w:t>
      </w:r>
    </w:p>
    <w:p>
      <w:r>
        <w:rPr>
          <w:b/>
        </w:rPr>
        <w:t>E. 3.1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3.2</w:t>
      </w:r>
    </w:p>
    <w:p>
      <w:r>
        <w:t>En l'espèce, force est de constater que la situation de la recourante ne s'est pas modifiée depuis le dernier arrêt de la Chambre de céans. Partant, la poursuite, de</w:t>
      </w:r>
    </w:p>
    <w:p>
      <w:r>
        <w:t>- 8/10 - P/7724/2019 manière ambulatoire, de la psychothérapie qu'elle dit avoir entamée en prison depuis six mois ne paraît, au vu des circonstances déjà retenues (cf. B.h. supra), pas suffisante à pallier le risque de réitération sérieux retenu par la Chambre de céans et le Tribunal fédéral (cf. B.i. supra), et confirmé par l'expert psychiatre (cf. B.d. supra). Les autres mesures proposées sont impropres à pallier le risque de réitération.</w:t>
      </w:r>
    </w:p>
    <w:p>
      <w:r>
        <w:rPr>
          <w:b/>
        </w:rPr>
        <w:t>E. 4</w:t>
      </w:r>
    </w:p>
    <w:p>
      <w:r>
        <w:t>Le Tribunal fédéral a retenu que le principe de la proportionnalité demeurait respecté, compte tenu de la gravité des infractions pour lesquelles la recourante était mise en prévention et la durée de la détention provisoire déjà subie (cf. arrêt 1B_480/2019 susmentionné, consid. 6). La recourante ayant depuis lors été renvoyée en jugement, la détention prononcée jusqu'au 23 mars 2020 pour des motifs de sûreté respecte encore le principe de la proportionnalité.</w:t>
      </w:r>
    </w:p>
    <w:p>
      <w:r>
        <w:rPr>
          <w:b/>
        </w:rPr>
        <w:t>E. 5</w:t>
      </w:r>
    </w:p>
    <w:p>
      <w:r>
        <w:t>Le recours s'avère ainsi infondé et doit être rejeté.</w:t>
      </w:r>
    </w:p>
    <w:p>
      <w:r>
        <w:rPr>
          <w:b/>
        </w:rPr>
        <w:t>E. 6</w:t>
      </w:r>
    </w:p>
    <w:p>
      <w:r>
        <w:t>La recourante, qui succombe, supportera les frais envers l'État, qui comprendront un émolument de CHF 900.- (art. 428 al. 1 CPP et 13 al. 1 du Règlement fixant le tarif des frais en matière pénale, RTFMP ; E 4 10.03). * * * * *</w:t>
      </w:r>
    </w:p>
    <w:p>
      <w:r>
        <w:t>- 9/10 - P/7724/2019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