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ACPR/269/2021 vom 29. März 2021</w:t>
      </w:r>
    </w:p>
    <w:p>
      <w:r>
        <w:t>GE Cour de justice, 2021-03-29, FR</w:t>
      </w:r>
    </w:p>
    <w:p>
      <w:r>
        <w:rPr>
          <w:b/>
        </w:rPr>
        <w:t xml:space="preserve">Quelle: </w:t>
      </w:r>
      <w:r>
        <w:t>https://mcp.opencaselaw.ch/entscheid/ge_gerichte_ACPR_269_2021</w:t>
      </w:r>
    </w:p>
    <w:p>
      <w:r>
        <w:t>FR: GE_GERICHTE ACPR/269/2021 du 29 mars 2021</w:t>
      </w:r>
    </w:p>
    <w:p>
      <w:r>
        <w:t>IT: GE_GERICHTE ACPR/269/2021 del 29 marzo 2021</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sauf à contester le trafic de stupéfiants. Il n'y a donc pas à s'y attarder, étant relevé que des indices lourds (messages avec D______ et déclarations de ce dernier selon lesquelles le prévenu lui a présenté E______, l'organisateur du transport de drogues) pèsent sur le recourant.</w:t>
      </w:r>
    </w:p>
    <w:p>
      <w:r>
        <w:rPr>
          <w:b/>
        </w:rPr>
        <w:t>E. 3</w:t>
      </w:r>
    </w:p>
    <w:p>
      <w:r>
        <w:t>Dans un grief qu'il convient d'examiner en premier lieu, le recourant se plaint d'une violation du principe de la célérité.</w:t>
      </w:r>
    </w:p>
    <w:p>
      <w:r>
        <w:rPr>
          <w:b/>
        </w:rPr>
        <w:t>E. 3.1</w:t>
      </w:r>
    </w:p>
    <w:p>
      <w:r>
        <w:t>L'art. 29 al. 1 Cst. dispose que toute personne a droit, dans une procédure judiciaire ou administrative, à ce que sa cause soit traitée équitablement et jugée dans</w:t>
      </w:r>
    </w:p>
    <w:p>
      <w:r>
        <w:t>- 5/8 - P/21769/2020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Une éventuelle violation du principe de la célérité ne conduirait pas obligatoirement à une libération, mais tout au plus à une constatation formelle dans le dispositif à rendre, avec des conséquences sur les frais de la cause (ATF 137 IV 92 consid. 3 p. 96).</w:t>
      </w:r>
    </w:p>
    <w:p>
      <w:r>
        <w:rPr>
          <w:b/>
        </w:rPr>
        <w:t>E. 3.2</w:t>
      </w:r>
    </w:p>
    <w:p>
      <w:r>
        <w:t>À l'aune de ces rappels, issus d'une jurisprudence constante et bien affirmée, le grief du recourant est dénué de fondement. L'instruction progresse, au fil des analyses des téléphones faites par la police, le Procureur ayant délivré d'autres mandats d'actes d'enquêtes – jusqu'à ordonner l'audition des clients potentiels du prévenu apparus lors de ces recherches –; il s'agit de l'évolution classique d'une instruction pénale. Que le Ministère public n'ait tenu qu'une audience avec le prévenu n'est ainsi pas révélateur de lenteur. Pour le surplus, il n'a pas saisi la Chambre de céans d'un recours pour retard injustifié.</w:t>
      </w:r>
    </w:p>
    <w:p>
      <w:r>
        <w:rPr>
          <w:b/>
        </w:rPr>
        <w:t>E. 4</w:t>
      </w:r>
    </w:p>
    <w:p>
      <w:r>
        <w:t>Le recourant affirme que tout risque de collusion aurait désormais disparu.</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132 I 21</w:t>
      </w:r>
    </w:p>
    <w:p>
      <w:r>
        <w:t>- 6/8 - P/21769/2020 consid. 3.2 p. 23; 128 I 149 consid. 2.1 p. 151; 123 I 31 consid. 3c p. 35 et les références). Dans cet examen, entrent en ligne de compte les caractéristiques personnelles du détenu, son rôle dans l'infraction ainsi que ses liens avec les autres prévenus.</w:t>
      </w:r>
    </w:p>
    <w:p>
      <w:r>
        <w:rPr>
          <w:b/>
        </w:rPr>
        <w:t>E. 4.2</w:t>
      </w:r>
    </w:p>
    <w:p>
      <w:r>
        <w:t>En l'espèce, le risque de collusion apparaît manifeste. S'il n'en existe peut-être plus avec F______ – dont les déclarations à la police ne sont pas au dossier soumis à la Chambre de céans –, l'affirmation qu'il n'y aurait plus de collusion possible avec ses clients potentiels – au motif que la police disposerait de ses contacts téléphoniques et avait reçu mandat de les entendre – est saugrenue; tant que ceux-ci n'auront pas été auditionnés, on ignore, par la force des choses, ce qu'ils déclareraient et le recourant, s'il était remis en liberté, pourrait être tenter d'influencer les explications attendues de ces personnes. Une interdiction de contact avec les protagonistes ou une assignation à résidence, comme suggérées, n'offrirait aucune garantie palliative, et dissuasive, en cas de libération.</w:t>
      </w:r>
    </w:p>
    <w:p>
      <w:r>
        <w:rPr>
          <w:b/>
        </w:rPr>
        <w:t>E. 5</w:t>
      </w:r>
    </w:p>
    <w:p>
      <w:r>
        <w:t>Le risque de collusion étant réalisé, il ne sera pas procédé à l'examen du danger de réitération retenu par le premier juge. La Chambre de céans peut, en effet, s'en dispenser lorsqu'une des hypothèses prévues à l'art. 221 al. 1 CP est réalisée (arrêt du Tribunal fédéral 1B_322/2019 du 15 décembre 2019 consid. 3.3 et la jurisprudence citée).</w:t>
      </w:r>
    </w:p>
    <w:p>
      <w:r>
        <w:rPr>
          <w:b/>
        </w:rPr>
        <w:t>E. 6</w:t>
      </w:r>
    </w:p>
    <w:p>
      <w:r>
        <w:t>Le recourant n'invoque, à juste titre, pas de violation du principe de la proportionnalité. La durée de la détention subie à ce jour, augmentée de la prolongation querellée, n'atteint pas la peine à laquelle il pourrait être condamné s'il était reconnu coupable de toutes les préventions retenues contre lui (cf. art. 212 al. 3 CPP).</w:t>
      </w:r>
    </w:p>
    <w:p>
      <w:r>
        <w:rPr>
          <w:b/>
        </w:rPr>
        <w:t>E. 7</w:t>
      </w:r>
    </w:p>
    <w:p>
      <w:r>
        <w:t>Le recours doit être rejeté. Le recourant, qui succombe, supportera les frais envers l'État, arrêtés à CHF 900.- (art. 428 al. 1 CPP et 13 al. 1 du Règlement fixant le tarif des frais en matière pénale, RTFMP; E 4 10.03).</w:t>
      </w:r>
    </w:p>
    <w:p>
      <w:r>
        <w:rPr>
          <w:b/>
        </w:rPr>
        <w:t>E. 8</w:t>
      </w:r>
    </w:p>
    <w:p>
      <w:r>
        <w:t>La procédure n'étant pas terminée, il n'y a pas lieu d'indemniser, à ce stade, le défenseur d'office (art. 135 al. 2 CPP). * * * * *</w:t>
      </w:r>
    </w:p>
    <w:p>
      <w:r>
        <w:t>- 7/8 - P/21769/2020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