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ACPR/267/2023 vom 30. November 2022</w:t>
      </w:r>
    </w:p>
    <w:p>
      <w:r>
        <w:t>GE Cour de justice, 2022-11-30, FR</w:t>
      </w:r>
    </w:p>
    <w:p>
      <w:r>
        <w:rPr>
          <w:b/>
        </w:rPr>
        <w:t xml:space="preserve">Quelle: </w:t>
      </w:r>
      <w:r>
        <w:t>https://mcp.opencaselaw.ch/entscheid/ge_gerichte_ACPR_267_2023</w:t>
      </w:r>
    </w:p>
    <w:p>
      <w:r>
        <w:t>FR: GE_GERICHTE ACPR/267/2023 du 30 novembre 2022</w:t>
      </w:r>
    </w:p>
    <w:p>
      <w:r>
        <w:t>IT: GE_GERICHTE ACPR/267/2023 del 30 novembre 2022</w:t>
      </w:r>
    </w:p>
    <w:p>
      <w:pPr>
        <w:pStyle w:val="Heading2"/>
      </w:pPr>
      <w:r>
        <w:t>Erwägungen</w:t>
      </w:r>
    </w:p>
    <w:p>
      <w:r>
        <w:rPr>
          <w:b/>
        </w:rPr>
        <w:t>E. 1</w:t>
      </w:r>
    </w:p>
    <w:p>
      <w:r>
        <w:t>Vu la connexité évidente de recours, ils seront joints et traités en un seul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des plaignants qui, parties à la procédure (art. 104 al. 1 let. b CPP), ont qualité pour agir, ayant un intérêt juridiquement protégé à la modification ou à l'annulation de la décision querellée – en qualité de personnes directement visées par les décisions prises lors de l'assemblée générale extraordinaire de D______ SA pour A______ et B______ et d'actionnaire de ladite société pour C______ SA – (art. 382 al. 1 CPP; ATF 119 Ia 342 consid. 2b; arrêt du Tribunal fédéral 6B_496/2012 du 18 avril 2013 consid. 5.2; ATF 140 IV 155 consid. 3.3.3; ACPR/123/2022 du 23 février 2022).</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Les recourants reprochent une constatation erronée et incomplète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5</w:t>
      </w:r>
    </w:p>
    <w:p>
      <w:r>
        <w:t>Les recourants font également grief au Ministère public d'avoir classé la procédure.</w:t>
      </w:r>
    </w:p>
    <w:p>
      <w:r>
        <w:rPr>
          <w:b/>
        </w:rPr>
        <w:t>E. 5.1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t>- 7/11 - P/7349/2018 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5.2</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w:t>
      </w:r>
    </w:p>
    <w:p>
      <w:r>
        <w:rPr>
          <w:b/>
        </w:rPr>
        <w:t>E. 5.3</w:t>
      </w:r>
    </w:p>
    <w:p>
      <w:r>
        <w:t>À teneur de l'art. 253 CP, se rend coupable d'obtention frauduleuse d'une constatation fausse celui qui, en induisant en erreur un fonctionnaire ou un officier public, l'aura amené à constater faussement dans un titre authentique un fait ayant une portée juridique, notamment à certifier faussement l'authenticité d'une signature ou l'exactitude d'une copie, ou aura fait usage d'un titre ainsi obtenu pour tromper autrui sur le fait qui y est constaté.</w:t>
      </w:r>
    </w:p>
    <w:p>
      <w:r>
        <w:rPr>
          <w:b/>
        </w:rPr>
        <w:t>E. 5.4</w:t>
      </w:r>
    </w:p>
    <w:p>
      <w:r>
        <w:t>Lorsque l’auteur crée un titre mensonger, puis l’utilise en vue d’obtenir frauduleusement une constatation fausse, les infractions aux art. 251 et 253 CP</w:t>
      </w:r>
    </w:p>
    <w:p>
      <w:r>
        <w:t>- 8/11 - P/7349/2018 entrent en concours réel (ATF 107 IV 28 consid. 3b; arrêt du Tribunal fédéral 6S.119/2005 précité, consid. 3).</w:t>
      </w:r>
    </w:p>
    <w:p>
      <w:r>
        <w:rPr>
          <w:b/>
        </w:rPr>
        <w:t>E. 5.5</w:t>
      </w:r>
    </w:p>
    <w:p>
      <w:r>
        <w:t>Un procès-verbal d'assemblée générale d'une personne morale constitue un titre s'agissant des données qu'il retranscrit et qui sont destinées au registre du commerce (ATF 123 IV 132 consid. 3a.bb; arrêts du Tribunal fédéral 6B_473/2016 du 22 juin 2017 consid. 4.2.2 et 6S.119/2005 du 22 juin 2005 consid. 2.1 et 2.2; ACPR/231/2022 du 6 avril 2022 consid. 5.2.2.1).</w:t>
      </w:r>
    </w:p>
    <w:p>
      <w:r>
        <w:rPr>
          <w:b/>
        </w:rPr>
        <w:t>E. 5.6</w:t>
      </w:r>
    </w:p>
    <w:p>
      <w:r>
        <w:t>En l'occurrence, la tenue d'une assemblée générale d'une société anynyme, au cours de laquelle des décisions concernant le changement des membres du conseil d'administration sont prises, revêt manifestement une portée juridique destinée au registre du commerce. Ainsi, sur ce point, le procès-verbal litigieux possède la qualité de titre. Les versions des prévenus concordent sur l'existence d'une assemblée générale extraordinaire de D______ SA le 13 février 2017. Cette réalité a également été confirmée par les instances civiles. Dans ces circonstances, on ne voit aucune raison pour laquelle la Chambre de céans devrait avoir une appréciation différente. La seule conviction contraire des recourants, sans qu'aucun élément de preuve objectif ne l'étaye, ne le permet en tout cas pas. D'ailleurs, A______ et C______ SA, dont B______ est administrateur, ont eux-mêmes reconnu, dans leur courrier du 7 juin 2022, qu'une assemblée générale avait eu lieu "à la sauvette" le jour en question. Les photographies produites, à teneur desquelles les recourants retiennent un temps de six minutes pour ladite réunion ne contredit pas ce qui précède. En effet, même si ce minutage devait être établi, ce qui n'est pas le cas, il ne peut être exclu, au vu de l'ordre du jour, bref, de ladite assemblée – trois votes pour lesquels il suffisait aux actionnaires de manifester leur accord – et des déclarations concordantes des personnes présentes, que la réunion avait pu se dérouler dans ce laps de temps. Partant, c'est à juste titre que le Ministère public a considéré que les infractions précitées n'étaient pas réalisées sur ce point.</w:t>
      </w:r>
    </w:p>
    <w:p>
      <w:r>
        <w:rPr>
          <w:b/>
        </w:rPr>
        <w:t>E. 5.7</w:t>
      </w:r>
    </w:p>
    <w:p>
      <w:r>
        <w:t>S'agissant du lieu d'une assemblée générale, conformément à la jurisprudence précitée et à l'art. 702 al. 2 CO – selon la teneur en vigueur dès le 1er janvier 2017 –, une telle indication n'est pas exigée sur le procès-verbal. Elle n'est pas non plus inscrite dans le registre du commerce. Les recourants ne prétendent par ailleurs pas le contraire. Ainsi, cet élément ne constitue pas un titre de sorte que l'infraction visée aux art. 251 et 253 CP n'est pas réalisée s'agissant de ce point. Au regard de ce qui précède, on ne voit pas quel acte d'instruction serait en mesure d'apporter un élément complémentaire probant y compris ceux proposés par les recourants. Dans ces circonstances, leur droit d'être entendu n'a pas été violé (art. 29</w:t>
      </w:r>
    </w:p>
    <w:p>
      <w:r>
        <w:t>- 9/11 - P/7349/2018 al. 2 Cst féd. et 3 al. 2 let. c CPP; ATF 145 I 73 consid. 7.2.2.1; arrêt du Tribunal fédéral 6B_1408/2021 du 5 mai 2022 consid. 2.1; art. 318 al. 2 CPP). Partant, les éléments constitutifs des infractions aux art. 251 et 253 CP ne sont pas réalisées.</w:t>
      </w:r>
    </w:p>
    <w:p>
      <w:r>
        <w:rPr>
          <w:b/>
        </w:rPr>
        <w:t>E. 6</w:t>
      </w:r>
    </w:p>
    <w:p>
      <w:r>
        <w:t>Justifiée, l'ordonnance querellée sera donc confirmée et les recours rejetés.</w:t>
      </w:r>
    </w:p>
    <w:p>
      <w:r>
        <w:rPr>
          <w:b/>
        </w:rPr>
        <w:t>E. 7</w:t>
      </w:r>
    </w:p>
    <w:p>
      <w:r>
        <w:t>Les recourants, qui succombent dans leurs recours respectifs supporteront, conjointement et solidairement, les frais envers l'État, fixés en totalité à CHF 2'100.- (art. 428 al. 1 CPP et 13 al. 1 du Règlement fixant le tarif des frais en matière pénale, RTFMP ; E 4 10.03). * * * * *</w:t>
      </w:r>
    </w:p>
    <w:p>
      <w:r>
        <w:t>- 10/11 - P/7349/2018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