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ACPR/266/2025 vom 19. Februar 2025</w:t>
      </w:r>
    </w:p>
    <w:p>
      <w:r>
        <w:t>GE Cour de justice, 2025-02-19, FR</w:t>
      </w:r>
    </w:p>
    <w:p>
      <w:r>
        <w:rPr>
          <w:b/>
        </w:rPr>
        <w:t xml:space="preserve">Quelle: </w:t>
      </w:r>
      <w:r>
        <w:t>https://mcp.opencaselaw.ch/entscheid/ge_gerichte_ACPR_266_2025</w:t>
      </w:r>
    </w:p>
    <w:p>
      <w:r>
        <w:t>FR: GE_GERICHTE ACPR/266/2025 du 19 février 2025</w:t>
      </w:r>
    </w:p>
    <w:p>
      <w:r>
        <w:t>IT: GE_GERICHTE ACPR/266/2025 del 19 febbraio 2025</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Y. JEANNERET / A. KUHN / C. PERRIER DEPEURSINGE (éds), Commentaire romand : Code de procédure pénales suisse, 2ème éd., Bâle 2019, n. 4 in fine ad art. 30)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ayant pu consulter le dossier de la P/1______/2025 auprès du Ministère public, sa conclusion visant à ce qu'il soit ordonné à cette autorité de le transmettre à la Chambre de céans est devenue sans objet.</w:t>
      </w:r>
    </w:p>
    <w:p>
      <w:r>
        <w:rPr>
          <w:b/>
        </w:rPr>
        <w:t>E. 3</w:t>
      </w:r>
    </w:p>
    <w:p>
      <w:r>
        <w:t>De jurisprudence constante, la motivation d'un recours doit être entièrement contenue dans l'acte de recours lui-même et ne saurait être complétée ou corrigée ultérieurement (arrêt du Tribunal fédéral 1B_183/2012 du 20 novembre 2012 consid. 2). Le recourant ayant pu développer ses arguments dans sa réplique, soit postérieurement à la consultation des dossiers demandées, sa conclusion préalable sollicitant de pouvoir compléter son recours n'a plus lieu d'être.</w:t>
      </w:r>
    </w:p>
    <w:p>
      <w:r>
        <w:t>- 5/9 - P/4454/2025</w:t>
      </w:r>
    </w:p>
    <w:p>
      <w:r>
        <w:rPr>
          <w:b/>
        </w:rPr>
        <w:t>E. 4</w:t>
      </w:r>
    </w:p>
    <w:p>
      <w:r>
        <w:t>Le recourant estime que la disjonction n'est pas justifiée.</w:t>
      </w:r>
    </w:p>
    <w:p>
      <w:r>
        <w:rPr>
          <w:b/>
        </w:rPr>
        <w:t>E. 4.1</w:t>
      </w:r>
    </w:p>
    <w:p>
      <w:r>
        <w:t>À teneur de l'art. 29 al. 1 CPP, les infractions sont poursuivies et jugées conjointement lorsqu'un prévenu a commis plusieurs infractions (let. a) ou lorsqu'il y a plusieurs coauteurs ou participation (let. b). Le principe d'unité de la procédure découle déjà de l'art. 49 CP et, sous réserve d'exceptions, s'applique à toutes les situations où plusieurs infractions, respectivement plusieurs personnes, doivent être jugées ensemble (Y. JEANNERET / A. KUHN / C. PERRIER DEPEURSINGE (éds), op. cit., n. 1 ad art. 29). Ce principe tend à éviter les jugements contradictoires quant à l'état de fait, l'appréciation juridique ou la quotité de la peine. Il sert en outre l'économie de la procédure (ATF 138 IV 214 consid. 3; 138 IV 29 consid. 3.2).</w:t>
      </w:r>
    </w:p>
    <w:p>
      <w:r>
        <w:rPr>
          <w:b/>
        </w:rPr>
        <w:t>E. 4.2</w:t>
      </w:r>
    </w:p>
    <w:p>
      <w:r>
        <w:t>Selon l'art. 30 CPP, si des raisons objectives le justifient, le Ministère public et les tribunaux peuvent ordonner la disjonction de procédures pénales. Elle sert, avant tout, à garantir la rapidité de la procédure et à éviter un retard inutile. Ces raisons objectives excluent en revanche de se fonder sur de simples motifs de commodité (Y. JEANNERET / A. KUHN / C. PERRIER DEPEURSINGE (éds.), op. cit., n. 2 ad art. 30). À titre d'exemples de cas d'application de l'exception de l'art. 30 CPP, l'on peut citer la violation du principe de célérité ou le fait que certains prévenus soient sur le point d'être jugés et pas d'autres (ATF 138 IV 214 consid. 3.2; L. MOREILLON / A. PAREIN-REYMOND, Code de procédure pénale - Petit commentaire, 2ème édition, Bâle 2016, n. 3 ad art. 30 CPP).</w:t>
      </w:r>
    </w:p>
    <w:p>
      <w:r>
        <w:rPr>
          <w:b/>
        </w:rPr>
        <w:t>E. 4.3</w:t>
      </w:r>
    </w:p>
    <w:p>
      <w:r>
        <w:t>En l'espèce, il ressort de l'ordonnance querellée et des observations du Ministère public que celui-ci a décidé de disjoindre de la procédure P/4454/2025 les faits reprochés au recourant sous une nouvelle procédure P/1______/2025, laquelle serait ensuite jointe à la P/2______/2024 dirigée également contre lui, afin qu'il puisse être jugé pour l'ensemble de ces faits. En substance, le recourant y voit là un procédé contraire à l'art. 30 CPP, dès lors qu'en le dissociant de la procédure P/4454/2025 visant désormais son co-prévenu, il se voyait écarté de l'administration des preuves y relative. Le Ministère public expose que le seul acte de procédure encore attendu dans cette procédure était le résultat d'analyse de sang de D______ (et l'extraction des images de vidéosurveillance en ce qui concerne les infractions à la LCR reprochées au recourant). D______ admet au demeurant être le propriétaire des flacons de MAKATUSSIN retrouvés dans le coffre du véhicule et n'incrimine aucunement le recourant – ce que ce dernier reconnaît –. On ne voit dès lors pas bien quelles nouvelles preuves devraient</w:t>
      </w:r>
    </w:p>
    <w:p>
      <w:r>
        <w:t>- 6/9 - P/4454/2025 être administrées dans ce contexte, et le recourant – qui n'en cite aucune – manifestement non plus. Que le recourant soit encore prévenu de cette infraction à la LStup ne signifie par ailleurs pas que des investigations complémentaires seraient nécessaires dans ce volet. Cela étant, si la P/4454/2025 devait néanmoins connaître de nouveaux développements, le droit du recourant à un procès équitable resterait préservé, même s'il lui est reproché d'avoir agi en coactivité. Si le recourant perd effectivement sa qualité de partie dans la procédure disjointe, ses droits procéduraux demeurent intacts puisqu'il peut formuler ses propres réquisitions de preuves et requérir l'audition de l'autre prévenu lors du procès. La crainte qu'une disjonction conduise à des jugements contradictoires ne repose sur aucun fondement. On peut dès lors, à l'instar du Ministère public, considérer que les faits reprochés à D______ dans la procédure P/4454/2025 sont quasiment sur le point d'être jugés, ce qui n'est pas le cas de ceux visant le recourant dans la P/2______/2024, celui-ci ayant dans l'intervalle requis l'audition de plusieurs personnes. Partant, la disjonction des faits le concernant dans la P/4454/2025 n'est pas critiquable sous l'angle de la célérité. Dans la mesure où la disjonction querellée permettra, après jonction subséquente des causes dans lesquelles le recourant est prévenu (P/2______/2024 et P/1______/2025), de poursuivre et juger conjointement les faits reprochés à l'intéressé, elle apparaît justifiée. Partant, compte tenu du large pouvoir d'appréciation qui est le sien en la matière, le Ministère public n'a pas violé la loi en l'ordonnant.</w:t>
      </w:r>
    </w:p>
    <w:p>
      <w:r>
        <w:rPr>
          <w:b/>
        </w:rPr>
        <w:t>E. 5</w:t>
      </w:r>
    </w:p>
    <w:p>
      <w:r>
        <w:t>Justifiée, l'ordonnance querellée sera donc confirmée.</w:t>
      </w:r>
    </w:p>
    <w:p>
      <w:r>
        <w:rPr>
          <w:b/>
        </w:rPr>
        <w:t>E. 6</w:t>
      </w:r>
    </w:p>
    <w:p>
      <w:r>
        <w:t>Le recourant sollicite l'assistance judiciaire et la désignation de son conseil comme défenseur d'office pour le recours.</w:t>
      </w:r>
    </w:p>
    <w:p>
      <w:r>
        <w:rPr>
          <w:b/>
        </w:rPr>
        <w:t>E. 6.1</w:t>
      </w:r>
    </w:p>
    <w:p>
      <w:r>
        <w:t>L'art. 29 al. 3 Cst féd. soumet l'octroi d'une telle assistance à la condition que le procès soutenu par l'indigent qui la réclame ne paraisse pas dépourvu de toute chance de succès. Tel n'est pas le cas quand les perspectives de gagner ce procès sont notablement plus faibles que les risques de le perdre, et qu'elles ne peuvent donc pas être considérées comme sérieuses, de sorte qu'une personne raisonnable et de condition aisée renoncerait à s'y engager en raison des frais qu'elle s'exposerait à devoir supporter (arrêt du Tribunal fédéral 7B_68/2022 du 6 mars 2024 consid. 4.2).</w:t>
      </w:r>
    </w:p>
    <w:p>
      <w:r>
        <w:t>- 7/9 - P/4454/2025</w:t>
      </w:r>
    </w:p>
    <w:p>
      <w:r>
        <w:rPr>
          <w:b/>
        </w:rPr>
        <w:t>E. 6.2</w:t>
      </w:r>
    </w:p>
    <w:p>
      <w:r>
        <w:t>En l'occurrence, on ne peut pas dire que les griefs du recourant étaient d'emblée dénués de chance de succès. L'intéressé bénéficiant d'une défense d'office dans le cadre de la procédure P/2______/2024 à laquelle la P/1______/2025 disjointe de la présente procédure devrait être jointe, il y a lieu d'admettre l'assistance judiciaire pour le recours et de désigner à ce titre son conseil comme défenseur d'office. La procédure n'étant pas terminée, il n'y a pas lieu de d'indemniser ce conseil à ce stade (cf. art. 135 al. 2 CPP).</w:t>
      </w:r>
    </w:p>
    <w:p>
      <w:r>
        <w:rPr>
          <w:b/>
        </w:rPr>
        <w:t>E. 7</w:t>
      </w:r>
    </w:p>
    <w:p>
      <w:r>
        <w:t>Le recourant, qui succombe, supportera les frais envers l'État, arrêtés à CHF 600.-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- 8/9 - P/4454/2025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