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ACPR/266/2020 vom 21. November 2019</w:t>
      </w:r>
    </w:p>
    <w:p>
      <w:r>
        <w:t>GE Cour de justice, 2019-11-21, FR</w:t>
      </w:r>
    </w:p>
    <w:p>
      <w:r>
        <w:rPr>
          <w:b/>
        </w:rPr>
        <w:t xml:space="preserve">Quelle: </w:t>
      </w:r>
      <w:r>
        <w:t>https://mcp.opencaselaw.ch/entscheid/ge_gerichte_ACPR_266_2020</w:t>
      </w:r>
    </w:p>
    <w:p>
      <w:r>
        <w:t>FR: GE_GERICHTE ACPR/266/2020 du 21 novembre 2019</w:t>
      </w:r>
    </w:p>
    <w:p>
      <w:r>
        <w:t>IT: GE_GERICHTE ACPR/266/2020 del 21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en tant que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CPP a contrario). Tel est le cas en l'espèce pour les motifs qui suivent.</w:t>
      </w:r>
    </w:p>
    <w:p>
      <w:r>
        <w:rPr>
          <w:b/>
        </w:rPr>
        <w:t>E. 3</w:t>
      </w:r>
    </w:p>
    <w:p>
      <w:r>
        <w:t>Le recourant reproche au Ministère public d'avoir classé sa plainte pénale.</w:t>
      </w:r>
    </w:p>
    <w:p>
      <w:r>
        <w:t>- 6/9 - P/13120/2018</w:t>
      </w:r>
    </w:p>
    <w:p>
      <w:r>
        <w:rPr>
          <w:b/>
        </w:rPr>
        <w:t>E. 3.1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3.2</w:t>
      </w:r>
    </w:p>
    <w:p>
      <w:r>
        <w:t>L'art. 125 al. 1 CP punit, sur plainte, celui qui, par négligence, fait subir à une personne une atteinte à l'intégrité corporelle ou à la santé. Si la lésion est grave l'auteur est poursuivi d'office (al. 2).</w:t>
      </w:r>
    </w:p>
    <w:p>
      <w:r>
        <w:rPr>
          <w:b/>
        </w:rPr>
        <w:t>E. 3.3</w:t>
      </w:r>
    </w:p>
    <w:p>
      <w:r>
        <w:t>En l'espèce, lorsque les gendarmes sont arrivés sur les lieux, le 12 mai 2018, le recourant, blessé et fortement alcoolisé (1.76 pour mille), alléguait avoir été heurté par un véhicule, mais tenait des propos incohérents sans être en mesure d’expliquer ni ce qu’il s’était passé, avec qui, quel véhicule, ni l’endroit ni l’heure. Deux mois plus tard, il a déposé plainte pénale pour dénoncer les faits, expliquant avoir été heurté par un véhicule 4x4 dont l’amie – dont il ignorait le nom – de B______ était détentrice, lors d’une marche arrière intempestive. Il a précisé que les faits avaient eu lieu après un festival de musique et que, juste avant le choc, B______ et lui s’étaient disputés. Entendu par la police le 28 juillet 2018, B______ a reconnu avoir été présent au festival de musique, qu’il avait organisé, et s’être disputé, dans la soirée, avec le</w:t>
      </w:r>
    </w:p>
    <w:p>
      <w:r>
        <w:t>- 7/9 - P/13120/2018 recourant, mais pas juste avant son départ en voiture. Il ignorait le nom de la femme qui l’avait ramené, en voiture, à ______ (VD), mais il était certain qu’ils n’avaient pas heurté le recourant, qu’il avait vu courir devant le véhicule au milieu de travaux sur la chaussée. Quatre mois après le dépôt de sa plainte pénale, soit en novembre 2018, le recourant a annoncé avoir reconnu, sur D______ (réseau social), "la personne accompagnant Monsieur B______ au moment des faits". Bien qu’identifiée comme étant E______, la précitée n’a pu être entendue, n’ayant donné suite à aucune des citations à comparaître en qualité de prévenue. Confronté à la photographie de la précitée, B______ l'a reconnue, mais affirmé qu’elle n’était pas présente au festival du 11 mai 2018 ni n’était la conductrice du véhicule qui l’avait ramené à ______ (VD), relevant que la voiture en question, de petite taille, n'était pas un modèle 4x4. L’analyse des données résultant de la surveillance rétroactive du raccordement utilisé par B______ n’a, selon les gendarmes, rien donné de probant. À l’évidence, les éléments au dossier, malgré l’instruction pénale, ne permettent pas de retenir un soupçon suffisant que B______ et/ou E______ seraient à l’origine des blessures présentées par le recourant. Reste donc à examiner si les actes d’instruction requis seraient de nature à apporter des éléments utiles à l’instruction. Le mandat d’amener, selon l’art. 207 CPP, a pour conséquence l’interpellation et le placement immédiat du prévenu en état d’arrestation pour être entendu par les autorités de poursuite pénale. Il s’agit d’une mesure de contrainte lourde qui suppose donc que la personne visée soit fortement soupçonnée d’avoir commis un crime ou un délit. En l’occurrence, si le Ministère public a cité E______ en qualité de prévenue pour l’entendre à l’audience du 1er avril 2019, à laquelle elle n’a pas comparu, la précitée a été mise hors de cause par B______. Le Ministère public pouvait donc légitimement considérer, dès ce moment-là, que les éléments contre la précitée n’étaient pas suffisants pour la placer sous mandat d’amener. À cela s’ajoute que rien au dossier ne permet de confirmer que la précitée était au festival le 11 mai 2018, étant de surcroît précisé qu'elle n’est pas titulaire d’un permis de conduire ni n’est détentrice d’un quelconque véhicule. Seules les affirmations du recourant la relient donc à ses blessures, ce qui est insuffisant pour décerner un mandat d’amener. Le recourant souhaite aussi l’audition d’un témoin, qui aurait selon lui recueilli la confidence de E______ selon laquelle l’accident aurait été provoqué par B______. Or, le recourant était à même, puisqu’il disposait des coordonnées téléphoniques dudit témoin, de communiquer son nom de famille, voire son adresse en Suisse, pour permettre son identification. Il ne dit rien non plus des circonstances dans lesquelles,</w:t>
      </w:r>
    </w:p>
    <w:p>
      <w:r>
        <w:t>- 8/9 - P/13120/2018 près de deux ans après les faits, l’intéressé se serait confié à lui à leur sujet. Force est ainsi de conclure, avec le Ministère public, que ce témoignage n’apporterait rien de probant, s’agissant, de surcroît, de simples ouï-dire. C’est donc à bon droit que le Ministère public a écarté cette réquisition de preuve comme étant non pertinente (art. 318 al. 2 CPP). Partant, l’instruction n’ayant permis d’établir aucun soupçon suffisant de la commission d’une infraction, le classement de la procédure selon l’art. 319 al. 1 let. a CPP est justifié, sans qu’il faille examiner si l’on se trouve en outre en présence d’un empêchement de procéder (art. 319 al. 1 let. d CPP).</w:t>
      </w:r>
    </w:p>
    <w:p>
      <w:r>
        <w:rPr>
          <w:b/>
        </w:rPr>
        <w:t>E. 4</w:t>
      </w:r>
    </w:p>
    <w:p>
      <w:r>
        <w:t>Justifiée, l'ordonnance querellée sera donc confirmée.</w:t>
      </w:r>
    </w:p>
    <w:p>
      <w:r>
        <w:rPr>
          <w:b/>
        </w:rPr>
        <w:t>E. 5</w:t>
      </w:r>
    </w:p>
    <w:p>
      <w:r>
        <w:t>Le recourant, au bénéfice de l'assistance judiciaire gratuite, sera exonéré des frais de recours (art. 136 al. 2 let. b CPP).</w:t>
      </w:r>
    </w:p>
    <w:p>
      <w:r>
        <w:rPr>
          <w:b/>
        </w:rPr>
        <w:t>E. 6</w:t>
      </w:r>
    </w:p>
    <w:p>
      <w:r>
        <w:t>Le recourant requiert une indemnité de CHF 2'000.- plus TVA, sur la base de l’art. 421 al. 2 CPP, "venant couvrir cinq heures de travail d’avocat". La procédure étant terminée (art. 135 al. 2 cum art. 138 al. 1CPP), le conseil juridique gratuit du recourant (art. 136 al. 2 CPP) sera rémunéré sur la base de ses indications, à savoir 5 heures d’activité, et du tarif horaire prévu à l'art. 16 al. 1 let. c RAJ, soit au total CHF 1'000.-, plus TVA à 7.7%. * * * * *</w:t>
      </w:r>
    </w:p>
    <w:p>
      <w:r>
        <w:t>- 9/9 - P/13120/2018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