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ACPR/265/2026 vom 16. März 2026</w:t>
      </w:r>
    </w:p>
    <w:p>
      <w:r>
        <w:t>GE Cour de justice, 2026-03-16, FR</w:t>
      </w:r>
    </w:p>
    <w:p>
      <w:r>
        <w:rPr>
          <w:b/>
        </w:rPr>
        <w:t xml:space="preserve">Quelle: </w:t>
      </w:r>
      <w:r>
        <w:t>https://mcp.opencaselaw.ch/entscheid/ge_gerichte_ACPR_265_2026</w:t>
      </w:r>
    </w:p>
    <w:p>
      <w:r>
        <w:t>FR: GE_GERICHTE ACPR/265/2026 du 16 mars 2026</w:t>
      </w:r>
    </w:p>
    <w:p>
      <w:r>
        <w:t>IT: GE_GERICHTE ACPR/265/2026 del 16 marzo 2026</w:t>
      </w:r>
    </w:p>
    <w:p>
      <w:pPr>
        <w:pStyle w:val="Heading2"/>
      </w:pPr>
      <w:r>
        <w:t>Erwägungen</w:t>
      </w:r>
    </w:p>
    <w:p>
      <w:r>
        <w:rPr>
          <w:b/>
        </w:rPr>
        <w:t>E. 8</w:t>
      </w:r>
    </w:p>
    <w:p>
      <w:r>
        <w:t>avril 2015 consid. 4.6 et 1B_203/2011 du 18 mai 2011 consid. 4);  le recourant plaide au bénéfice d'une défense d'office;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 en l'occurrence, quand bien même le recourant succombe, on peut encore admettre que l'exercice du présent recours ne procède pas d'un abus;  l'indemnité du défenseur d'office sera fixée à la fin de la procédure (art. 135 al. 2 CPP). * * * * *</w:t>
      </w:r>
    </w:p>
    <w:p>
      <w:r>
        <w:t>- 10/11 - P/28008/2023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