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ACPR/264/2026 vom 13. März 2026</w:t>
      </w:r>
    </w:p>
    <w:p>
      <w:r>
        <w:t>GE Cour de justice, 2026-03-13, FR</w:t>
      </w:r>
    </w:p>
    <w:p>
      <w:r>
        <w:rPr>
          <w:b/>
        </w:rPr>
        <w:t xml:space="preserve">Quelle: </w:t>
      </w:r>
      <w:r>
        <w:t>https://mcp.opencaselaw.ch/entscheid/ge_gerichte_ACPR_264_2026</w:t>
      </w:r>
    </w:p>
    <w:p>
      <w:r>
        <w:t>FR: GE_GERICHTE ACPR/264/2026 du 13 mars 2026</w:t>
      </w:r>
    </w:p>
    <w:p>
      <w:r>
        <w:t>IT: GE_GERICHTE ACPR/264/2026 del 13 marzo 2026</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b CPP) et émane du condamné qui, partie à la procédure (art. 104 al. 1 let. a CPP), a qualité pour agir, ayant un intérêt juridiquement protégé à la modification ou à l'annulation de la décision querellée (art. 382 al. 1 CPP).</w:t>
      </w:r>
    </w:p>
    <w:p>
      <w:r>
        <w:rPr>
          <w:b/>
        </w:rPr>
        <w:t>E. 1.2</w:t>
      </w:r>
    </w:p>
    <w:p>
      <w:r>
        <w:t>L'objet du litige est circonscrit à la décision du Tribunal de police de prolonger certaines mesures de substitution, de sorte que l'intention du recourant de "recourir" contre sa condamnation ne sera pas traitée dans le présent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L'art. 231 al. 1 CPP dispose qu'au moment du jugement, le tribunal de première instance détermine si le prévenu condamné doit être placé ou maintenu en détention pour des motifs de sûreté pour garantir l'exécution de la peine ou de la mesure prononcée (let. a). Les dispositions sur la détention provisoire s'appliquent par analogie au prononcé des mesures de substitution ainsi qu'au recours contre elles (art. 237 al. 4 CPP). Ce renvoi se justifie par le fait que les mesures de substitution sont ordonnées aux mêmes conditions que la détention provisoire (ATF 141 IV 190 consid. 3.3).</w:t>
      </w:r>
    </w:p>
    <w:p>
      <w:r>
        <w:rPr>
          <w:b/>
        </w:rPr>
        <w:t>E. 4</w:t>
      </w:r>
    </w:p>
    <w:p>
      <w:r>
        <w:t>Le recourant conteste l’existence de charges suffisantes.</w:t>
      </w:r>
    </w:p>
    <w:p>
      <w:r>
        <w:rPr>
          <w:b/>
        </w:rPr>
        <w:t>E. 4.1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w:t>
      </w:r>
    </w:p>
    <w:p>
      <w:r>
        <w:t>- 9/13 - P/25472/2024 examiner s'il existe des indices sérieux de culpabilité justifiant une telle mesure (ATF 143 IV 330 consid. 2.1; 143 IV 316 consid. 3.1 et 3.2).</w:t>
      </w:r>
    </w:p>
    <w:p>
      <w:r>
        <w:rPr>
          <w:b/>
        </w:rPr>
        <w:t>E. 4.2</w:t>
      </w:r>
    </w:p>
    <w:p>
      <w:r>
        <w:t>En l'espèce, quand bien même le recourant conteste encore les faits, il fait désormais l'objet d'un jugement du Tribunal de police le déclarant coupable de dommages à la propriété (art. 144 al. 1 CP), dommages à la propriété aggravés (art.144 al. 1 et al. 3 CP), diffamation (art. 173 ch. 1 CP), injure (art. 177 al. 1 CP), contrainte (art. 181 CP), discrimination et incitation à la haine (art. 261bis phr. 4 CP) et d’infraction à l’art. 33 al. 1 let. a LArm pour la plupart des faits pour lesquels il a été renvoyé en jugement. Ainsi, les charges pesant à son encontre demeurent graves et suffisantes.</w:t>
      </w:r>
    </w:p>
    <w:p>
      <w:r>
        <w:rPr>
          <w:b/>
        </w:rPr>
        <w:t>E. 5</w:t>
      </w:r>
    </w:p>
    <w:p>
      <w:r>
        <w:t>Le recourant conteste la prolongation des mesures de substitution en tant qu'elles lui font obligation de poursuivre le traitement psychiatrique en cours et interdiction de tout contact avec les personnes concernées par la procédure. Le recourant semble contester tout risque de réitération.</w:t>
      </w:r>
    </w:p>
    <w:p>
      <w:r>
        <w:rPr>
          <w:b/>
        </w:rPr>
        <w:t>E. 5.1</w:t>
      </w:r>
    </w:p>
    <w:p>
      <w:r>
        <w:t>L'art. 221 al. 1 let. c CPP, relatif au risque de récidive, dans sa nouvelle teneur au 1er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5.2</w:t>
      </w:r>
    </w:p>
    <w:p>
      <w:r>
        <w:t>Le nouvel art. 221 al. 1bis CPP prévoit pour sa part que la détention provisoire ou pour des motifs de sûreté peut exceptionnellement être ordonnée si le prévenu est fortement soupçonné d'avoir porté gravement atteinte à l'intégrité physique, psychique</w:t>
      </w:r>
    </w:p>
    <w:p>
      <w:r>
        <w:t>- 10/13 - P/25472/2024 ou sexuelle d'autrui en commettant un crime ou un délit grave et s'il y a un danger sérieux et imminent qu'il commette un crime grave du même genre (cf. ATF 150 IV 149 susmentionné, consid. 3.2, et arrêt du Tribunal fédéral 7B_1025/2023 du 23 janvier 2024 consid. 3.2). Comme il est renoncé à toute infraction préalable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 mise en œuvre de la motion 14.3383 de la Commission des affaires juridiques du Conseil des États "Adaptation du code de procédure pénale" –, FF 2019 6351, p. 6395).</w:t>
      </w:r>
    </w:p>
    <w:p>
      <w:r>
        <w:rPr>
          <w:b/>
        </w:rPr>
        <w:t>E. 5.3</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w:t>
      </w:r>
    </w:p>
    <w:p>
      <w:r>
        <w:rPr>
          <w:b/>
        </w:rPr>
        <w:t>E. 5.4</w:t>
      </w:r>
    </w:p>
    <w:p>
      <w:r>
        <w:t>En l'espèce, le recourant a été condamné en première instance en particulier pour avoir importuné quotidiennement J______, du mois de juin 2023 à début novembre 2024, en l'attendant devant son domicile ou son lieu de travail, au point que cette dernière s'est sentie menacée et s'est vue contrainte de modifier ses habitudes afin de l'éviter. Il a aussi été condamné pour avoir détenu à son domicile de nombreuses armes, étant relevé que le fait que certaines aient été considérées par le Tribunal de police comme ne tombant pas sous le coup de l'art. 33 let. a LArm n'en est pas moins préoccupant. S'y ajoute la pléthore de courriers à tout le moins inconvenants et revendicateurs que le recourant a adressés tout au long de la procédure, au Ministère public et au Tribunal pénal, et ce alors même qu'il était détenu puis en traitement psychiatrique, sous mesures de substitution. Il apparait que ce comportement est, aux dires des experts psychiatres – dont le rapport d'expertise ne prête pas le flanc à la critique, et dont le recourant ne motive pas en quoi il constituerait "un faux au sens de l'art. 307 CP" –, en lien avec la pathologie psychiatrique dont il souffre. Le diagnostic d'un trouble délirant a été posé par les experts, lesquels ont, en audience, rappelé que le recourant n'est pas conscient de son</w:t>
      </w:r>
    </w:p>
    <w:p>
      <w:r>
        <w:t>- 11/13 - P/25472/2024 trouble psychiatrique (anosognosique). En cas de refus, le traitement – des antipsychotiques de la classe des neuroleptiques – devrait être potentiellement administré contre son gré. Le délire présenté par l'expertisé était "un cran au-dessus" de ce qu'on pouvait voir chez des personnalités paranoïaques. Les experts considèrent que le recourant présente un risque de récidive élevé d'actes tels que ceux reprochés, susceptible toutefois d'être réduit par un suivi psychiatrique, psychothérapeutique et médicamenteux en ambulatoire. Face à ce tableau et à la gravité du comportement que le prévenu a adopté en particulier à l'égard de J______, constitutif d'une infraction grave et susceptible de mettre encore en danger la santé de l'intéressée, ou toute autre personne sur laquelle il déciderait de jeter son dévolu (à l'image d'une procureure et d'une intervenante du SRSP notamment), un risque de récidive et de passage à l’acte est redouté et doit être pallié par des mesures de substitution, ce que le premier juge a constaté à bon droit. Aussi, doivent perdurer l'interdiction de tout contact (en personne, par personne interposée, téléphone, courriel, messageries ou autre) avec les parties plaignantes à la procédure et leurs proches et familiers, l'obligation de poursuivre au rythme et conditions fixés par le thérapeute, un traitement psychiatrique, l’obligation de produire en mains du SRSP, chaque mois, un certificat attestant de la régularité de cette thérapie et de suivre les règles ordonnées par le SRSP dans le cadre du suivi des mesures de substitution, lesdites mesures étant aptes et nécessaires pour juguler le risque de réitération.</w:t>
      </w:r>
    </w:p>
    <w:p>
      <w:r>
        <w:rPr>
          <w:b/>
        </w:rPr>
        <w:t>E. 6</w:t>
      </w:r>
    </w:p>
    <w:p>
      <w:r>
        <w:t>Justifiée, l'ordonnance querellée sera donc confirmée.</w:t>
      </w:r>
    </w:p>
    <w:p>
      <w:r>
        <w:rPr>
          <w:b/>
        </w:rPr>
        <w:t>E. 7</w:t>
      </w:r>
    </w:p>
    <w:p>
      <w:r>
        <w:t>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- 12/13 - P/25472/2024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