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ACPR/260/2019 vom 1. November 2018</w:t>
      </w:r>
    </w:p>
    <w:p>
      <w:r>
        <w:t>GE Cour de justice, 2018-11-01, FR</w:t>
      </w:r>
    </w:p>
    <w:p>
      <w:r>
        <w:rPr>
          <w:b/>
        </w:rPr>
        <w:t xml:space="preserve">Quelle: </w:t>
      </w:r>
      <w:r>
        <w:t>https://mcp.opencaselaw.ch/entscheid/ge_gerichte_ACPR_260_2019</w:t>
      </w:r>
    </w:p>
    <w:p>
      <w:r>
        <w:t>FR: GE_GERICHTE ACPR/260/2019 du 1 novembre 2018</w:t>
      </w:r>
    </w:p>
    <w:p>
      <w:r>
        <w:t>IT: GE_GERICHTE ACPR/260/2019 del 1 novembre 2018</w:t>
      </w:r>
    </w:p>
    <w:p>
      <w:pPr>
        <w:pStyle w:val="Heading2"/>
      </w:pPr>
      <w:r>
        <w:t>Erwägungen</w:t>
      </w:r>
    </w:p>
    <w:p>
      <w:r>
        <w:rPr>
          <w:b/>
        </w:rPr>
        <w:t>E. 2</w:t>
      </w:r>
    </w:p>
    <w:p>
      <w:r>
        <w:t>CPP) –, lorsqu'il décide de maintenir l'ordonnance pénale, le SdC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 - en d'autres termes, le tribunal ne peut entrer en matière sur le fond de la cause que lorsque tant l'ordonnance pénale – qui tient alors lieu d'acte d'accusation (cf. art. 356 al. 1 2ème phrase CPP) – que l'opposition sont valables (arrêt du Tribunal fédéral 6B______/2018 du ______ 2018 consid. 2.1.);</w:t>
      </w:r>
    </w:p>
    <w:p>
      <w:r>
        <w:t>- 3/5 - P/21548/2018 - en l'espèce, la tardiveté de l'opposition est incontestable, puisque la notification de l'ordonnance pénale eut lieu le 24 août 2018 et que l'opposition n'a été adressée au SdC que le 13 septembre 2018, soit après l'expiration du délai de 10 jours fixé par la loi (art. 354 al. 1 CPP); - il s'ensuit que l'opposition n'était pas valable, car tardive, ce que le Tribunal de police n'a pas manqué de constater, ce qui l'empêchait d'entrer en matière sur le fond; - le premier juge n'avait ainsi pas à examiner si l'opposant était bien la personne visée par l'ordonnance pénale; - quant à la question d'une éventuelle révision de cette décision (art. 410 al. 1 let. a CPP), elle n'est pas de la compétence de la Chambre de céans, étant observé que, si le SdC pouvait se rendre compte de l'éventuelle erreur sur la personne du recourant, à la suite de l'opposition, cette autorité pénale ne pouvait pas s'affranchir des règles impératives sur la forme et le délai d'opposition (ACPR/750/2018 du 12 décembre 2018 consid. 2.2.); - faute d'opposition valable, l'ordonnance pénale est assimilée à un jugement entré en force (art. 354 al. 3 CPP); - le Tribunal de police a donc statué conformément au droit; le recours est rejeté, ce qui pouvait être constaté sans échange d'écritures ni débats; - la recourant, qui succombe, supportera les frais envers l'État, qui seront fixés en totalité à CHF 200.- (art. 428 al. 1 CPP et 13 al. 1 du Règlement fixant le tarif des frais en matière pénale, RTFMP; E 4 10.03). * * * * *</w:t>
      </w:r>
    </w:p>
    <w:p>
      <w:r>
        <w:t>- 4/5 - P/21548/2018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