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ACPR/259/2026 vom 16. März 2026</w:t>
      </w:r>
    </w:p>
    <w:p>
      <w:r>
        <w:t>GE Cour de justice, 2026-03-16, FR</w:t>
      </w:r>
    </w:p>
    <w:p>
      <w:r>
        <w:rPr>
          <w:b/>
        </w:rPr>
        <w:t xml:space="preserve">Quelle: </w:t>
      </w:r>
      <w:r>
        <w:t>https://mcp.opencaselaw.ch/entscheid/ge_gerichte_ACPR_259_2026</w:t>
      </w:r>
    </w:p>
    <w:p>
      <w:r>
        <w:t>FR: GE_GERICHTE ACPR/259/2026 du 16 mars 2026</w:t>
      </w:r>
    </w:p>
    <w:p>
      <w:r>
        <w:t>IT: GE_GERICHTE ACPR/259/2026 del 16 marzo 2026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Partant, l'ordonnance querellée sera annulée et une défense d’office ordonnée en faveur du recourant en la personne de Me B______. Celle-ci sera toutefois ordonnée avec effet rétroactif, non pas au 13 janvier 2026, date de l’opposition du recourant à l'ordonnance pénale, comme celui-ci le requiert, mais au 6 février 2026, date à laquelle il a sollicité d’être mis au bénéfice d'une défense d'office (arrêt du Tribunal fédéral 7B_235/2024 du 23 août 2024 consid. 3.2.2). Fondé, le recours doit être partiellement admis.</w:t>
      </w:r>
    </w:p>
    <w:p>
      <w:r>
        <w:rPr>
          <w:b/>
        </w:rPr>
        <w:t>E. 4</w:t>
      </w:r>
    </w:p>
    <w:p>
      <w:r>
        <w:t>Les frais de la procédure de recours seront laissés à la charge de l'État (art. 20 RAJ).</w:t>
      </w:r>
    </w:p>
    <w:p>
      <w:r>
        <w:rPr>
          <w:b/>
        </w:rPr>
        <w:t>E. 5</w:t>
      </w:r>
    </w:p>
    <w:p>
      <w:r>
        <w:t>L'indemnité du défenseur d'office nouvellement désigné sera fixée à la fin de la procédure (art. 135 al. 2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