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ACPR/257/2023 vom 12. Dezember 2022</w:t>
      </w:r>
    </w:p>
    <w:p>
      <w:r>
        <w:t>GE Cour de justice, 2022-12-12, FR</w:t>
      </w:r>
    </w:p>
    <w:p>
      <w:r>
        <w:rPr>
          <w:b/>
        </w:rPr>
        <w:t xml:space="preserve">Quelle: </w:t>
      </w:r>
      <w:r>
        <w:t>https://mcp.opencaselaw.ch/entscheid/ge_gerichte_ACPR_257_2023</w:t>
      </w:r>
    </w:p>
    <w:p>
      <w:r>
        <w:t>FR: GE_GERICHTE ACPR/257/2023 du 12 décembre 2022</w:t>
      </w:r>
    </w:p>
    <w:p>
      <w:r>
        <w:t>IT: GE_GERICHTE ACPR/257/2023 del 12 dicembre 2022</w:t>
      </w:r>
    </w:p>
    <w:p>
      <w:pPr>
        <w:pStyle w:val="Heading2"/>
      </w:pPr>
      <w:r>
        <w:t>Erwägungen</w:t>
      </w:r>
    </w:p>
    <w:p>
      <w:r>
        <w:rPr>
          <w:b/>
        </w:rPr>
        <w:t>E. 1</w:t>
      </w:r>
    </w:p>
    <w:p>
      <w:r>
        <w:t>Le recours est recevable pour avoir été déposé selon la forme et dans le délai prescrits (art. 385 al. 1 et 396 al. 1 CPP), concerner une ordonnance de séquestre et de perquisition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une violation de l'art. 199 CPP.</w:t>
      </w:r>
    </w:p>
    <w:p>
      <w:r>
        <w:rPr>
          <w:b/>
        </w:rPr>
        <w:t>E. 2.1</w:t>
      </w:r>
    </w:p>
    <w:p>
      <w:r>
        <w:t>Cette disposition prévoit que, lorsqu’une mesure de contrainte est ordonnée par écrit, une copie du mandat et une copie d’un éventuel procès-verbal d’exécution sont remis contre accusé de réception à la personne directement touchée, pour autant que la mesure de contrainte ne soit pas secrète. Selon l'art. 85 al. 2 CPP, les autorités pénales notifient leurs prononcés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w:t>
      </w:r>
    </w:p>
    <w:p>
      <w:r>
        <w:rPr>
          <w:b/>
        </w:rPr>
        <w:t>E. 2.2</w:t>
      </w:r>
    </w:p>
    <w:p>
      <w:r>
        <w:t>Une notification irrégulière a généralement pour seule conséquence qu'elle ne doit entraîner aucun préjudice pour son destinataire. En vertu du principe de la bonne foi, l'intéressé est toutefois tenu de se renseigner sur l'existence et le contenu de la décision dès qu'il peut en soupçonner l'existence, sous peine de se voir opposer l'irrecevabilité d'un éventuel moyen pour cause de tardiveté (arrêt du Tribunal fédéral 6B_552/2015 du 3 août 2016, consid. 2.5 et les références citées).</w:t>
      </w:r>
    </w:p>
    <w:p>
      <w:r>
        <w:rPr>
          <w:b/>
        </w:rPr>
        <w:t>E. 2.3</w:t>
      </w:r>
    </w:p>
    <w:p>
      <w:r>
        <w:t>En l'espèce, le recourant allègue n'avoir pas reçu copie du "procès-verbal de séquestre", sans que le dossier ne permette de supposer qu'un tel acte ait été établi, l'art. 199 CPP ne faisant pas obligation au Ministère public d'en dresser un. Force est toutefois de constater que lors de son audition à la police, le recourant s'est vu notifier l'ordonnance querellée et a signé l'inventaire des pièces séquestrées. Il a également fourni les codes d'accès aux appareils électroniques saisis. Il a donc été pleinement informé de la mesure de contrainte exécutée et de son ampleur. En outre, il n'apparaît pas, à teneur du dossier transmis à la Chambre de céans, que le recourant aurait – avant son recours – interpellé le Ministère public relativement à</w:t>
      </w:r>
    </w:p>
    <w:p>
      <w:r>
        <w:t>- 5/9 - P/17210/2021 l'absence de notification d'un procès-verbal, ayant plutôt demandé à pouvoir consulter le dossier. Rien ne permet donc d'établir que les réquisits de l'art. 199 CPP n'auraient pas été respectés. En tout état, le recourant a pu accéder à l'entier de la procédure, qui tient dans une fourre, et demander tirage des pièces de son choix. Ainsi, même dans l'hypothèse où la police ne lui aurait pas remis un double des documents notifiés au moment de son audition, il ne pourrait faire valoir aucun préjudice de ce fait et encore moins conclure à l'annulation de l'ordonnance querellée pour ce motif. Par conséquent, sa requête en obtention d'une copie du "procès-verbal de séquestre" peut être rejetée.</w:t>
      </w:r>
    </w:p>
    <w:p>
      <w:r>
        <w:rPr>
          <w:b/>
        </w:rPr>
        <w:t>E. 3</w:t>
      </w:r>
    </w:p>
    <w:p>
      <w:r>
        <w:t>Le recourant se plaint d'une violation de son droit d'être entendu, afférent à une motivation lacunaire de l'ordonnance querellée.</w:t>
      </w:r>
    </w:p>
    <w:p>
      <w:r>
        <w:rPr>
          <w:b/>
        </w:rPr>
        <w:t>E. 3.1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w:t>
      </w:r>
    </w:p>
    <w:p>
      <w:r>
        <w:rPr>
          <w:b/>
        </w:rPr>
        <w:t>E. 3.2</w:t>
      </w:r>
    </w:p>
    <w:p>
      <w:r>
        <w:t>Pour être licite, le séquestre doit respecter certaines règles de forme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(A. KUHN / Y. JEANNERET / C. PERRIER DEPEURSINGE (éds), Commentaire romand : Code de procédure pénale suisse, 2e éd., Bâle 2019, n. 34 ad art. 263).</w:t>
      </w:r>
    </w:p>
    <w:p>
      <w:r>
        <w:rPr>
          <w:b/>
        </w:rPr>
        <w:t>E. 3.3</w:t>
      </w:r>
    </w:p>
    <w:p>
      <w:r>
        <w:t>En l'espèce, il est reproché au recourant d'avoir écrit les lettres menaçantes reçues par les plaignants. Les faits sont, en somme, simples et les investigations aspirent à en identifier l'auteur. Dans ces circonstances, le recourant peut aisément comprendre de l'ordonnance querellée que le séquestre des objets portés à l'inventaire, en particulier son matériel informatique, vise à déterminer s'ils ont servi à produire les messages incriminés.</w:t>
      </w:r>
    </w:p>
    <w:p>
      <w:r>
        <w:t>- 6/9 - P/17210/2021 Ainsi, même si la motivation de l'ordonnance querellée est succincte et que le Ministère public y a listé – sans distinction – l'ensemble des motifs pour justifier le séquestre, le recourant était en mesure de la contester. Il a même parfaitement saisi l'enjeu de la mesure, comme le démontre ses explications à la police au sujet du type d'imprimante utilisé pour fabriquer les lettres anonymes. Partant, le grief doit être rejeté.</w:t>
      </w:r>
    </w:p>
    <w:p>
      <w:r>
        <w:rPr>
          <w:b/>
        </w:rPr>
        <w:t>E. 4</w:t>
      </w:r>
    </w:p>
    <w:p>
      <w:r>
        <w:t>Le recourant estime que le séquestre est disproportionné.</w:t>
      </w:r>
    </w:p>
    <w:p>
      <w:r>
        <w:rPr>
          <w:b/>
        </w:rPr>
        <w:t>E. 4.1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rPr>
          <w:b/>
        </w:rPr>
        <w:t>E. 4.2</w:t>
      </w:r>
    </w:p>
    <w:p>
      <w:r>
        <w:t>Le séquestre d'objets et de valeurs patrimoniales appartenant au prévenu ou à des tiers figure au nombre des mesures prévues par la loi. Il peut être ordonné, notamment, lorsqu'il est probable qu'ils seront utilisés comme moyens de preuve (art. 263 al. 1 let. a CPP), seront utilisés pour garantir le paiement des frais de procédure, des peines pécuniaires, des amendes et des indemnités (let. b) devront être restitués au lésé (let. c), devront être confisqués (let. d) ou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p. 364; ATF 140 IV 57 consid. 4.1.2 p. 63 et les références citées).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op. cit., n. 17/22 ad art. 263).</w:t>
      </w:r>
    </w:p>
    <w:p>
      <w:r>
        <w:rPr>
          <w:b/>
        </w:rPr>
        <w:t>E. 4.3</w:t>
      </w:r>
    </w:p>
    <w:p>
      <w:r>
        <w:t>En l'espèce, le recourant conteste avoir envoyé les lettres anonymes de menaces ayant fait l'objet de l'ordonnance de non-entrée en matière du 10 septembre 2021. En même temps, il admet être en conflit ouvert avec les plaignants et avoir adressé à leurs voisins des missives les accusant de déployer des "activités criminelles en col blanc".</w:t>
      </w:r>
    </w:p>
    <w:p>
      <w:r>
        <w:t>- 7/9 - P/17210/2021 La volonté déclarée du recourant de "provoquer" les intéressés et la similarité des procédés utilisés pour faire passer un message permettent de nourrir des soupçons contre lui. Dès lors, il apparaît vraisemblable, à ce stade de la procédure, que des éléments de preuve puissent être retrouvés par le truchement des objets séquestrés, en particulier le matériel informatique. La démarche s'avère, en outre, nécessaire puisque le recourant, bien que ne cachant pas ses intentions à l'égard des plaignants, nie être l'auteur des lettres anonymes. Enfin, le respect de la sphère privée du recourant est assuré par la possibilité de demander des scellés, droit dont il a fait usage, et mis en balance avec l'importance d'identifier l'auteur de l'infraction de menaces, qui est un délit (art. 10 al. 3 CP). En résumé, le séquestre apparaît nécessaire et utile à la manifestation de la vérité, tout en étant proportionné.</w:t>
      </w:r>
    </w:p>
    <w:p>
      <w:r>
        <w:rPr>
          <w:b/>
        </w:rPr>
        <w:t>E. 5</w:t>
      </w:r>
    </w:p>
    <w:p>
      <w:r>
        <w:t>Justifiée, l'ordonnance querellée sera donc confirmée. Le recours, qui s'avère mal fondé, pouvait être rejeté sans échange d'écritures, ni débats (art. 390 al. 2 et 5 a contrario CPP).</w:t>
      </w:r>
    </w:p>
    <w:p>
      <w:r>
        <w:rPr>
          <w:b/>
        </w:rPr>
        <w:t>E. 6</w:t>
      </w:r>
    </w:p>
    <w:p>
      <w:r>
        <w:t>Le recourant, qui succombe, supportera les frais envers l'État, fixés en totalité à CHF 700.-, émolument de décision compris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7</w:t>
      </w:r>
    </w:p>
    <w:p>
      <w:r>
        <w:t>L'indemnité du défenseur d'office sera fixée à la fin de la procédure (art. 135 al. 2 CPP). * * * * *</w:t>
      </w:r>
    </w:p>
    <w:p>
      <w:r>
        <w:t>- 8/9 - P/17210/2021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