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ACPR/256/2025 vom 10. März 2025</w:t>
      </w:r>
    </w:p>
    <w:p>
      <w:r>
        <w:t>GE Cour de justice, 2025-03-10, FR</w:t>
      </w:r>
    </w:p>
    <w:p>
      <w:r>
        <w:rPr>
          <w:b/>
        </w:rPr>
        <w:t xml:space="preserve">Quelle: </w:t>
      </w:r>
      <w:r>
        <w:t>https://mcp.opencaselaw.ch/entscheid/ge_gerichte_ACPR_256_2025</w:t>
      </w:r>
    </w:p>
    <w:p>
      <w:r>
        <w:t>FR: GE_GERICHTE ACPR/256/2025 du 10 mars 2025</w:t>
      </w:r>
    </w:p>
    <w:p>
      <w:r>
        <w:t>IT: GE_GERICHTE ACPR/256/2025 del 10 marzo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w:t>
      </w:r>
    </w:p>
    <w:p>
      <w:r>
        <w:t>- 7/12 - P/5738/2025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invoque tout d'abord une violation de son droit d'être entendu.</w:t>
      </w:r>
    </w:p>
    <w:p>
      <w:r>
        <w:rPr>
          <w:b/>
        </w:rPr>
        <w:t>E. 2.1</w:t>
      </w:r>
    </w:p>
    <w:p>
      <w:r>
        <w:t>Compris comme l'un des aspects de la notion générale de procès équitable au sens de l'art. 29 Cst.,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Les parties doivent pouvoir consulter le dossier pour connaître préalablement les éléments dont dispose l'autorité et jouir ainsi d'une réelle possibilité de faire valoir ses arguments dans une procédure. Pour que cette consultation soit utile, le dossier doit être complet afin qu'elles puissent, cas échéant, soulever une objection contre leur validité (arrêt du Tribunal fédéral 6B_1270/2021 consid. 2.1, non publié aux ATF 148 IV 288).</w:t>
      </w:r>
    </w:p>
    <w:p>
      <w:r>
        <w:rPr>
          <w:b/>
        </w:rPr>
        <w:t>E. 2.2</w:t>
      </w:r>
    </w:p>
    <w:p>
      <w:r>
        <w:t>En l'espèce, et comme relevé par le Ministère public, le fait que les prévenus rejettent "chacun la faute sur les membres du camp adverse" ressort de la demande de mise en détention provisoire concernant le recourant, même si elle ne figure pas dans le rapport d'interpellation ni expressément dans le rapport d'arrestation caviardé soumis au TMC. Ce même rapport d'arrestation indique cependant, dans sa version accessible au recourant, qu'il n'a pas été possible, après l'audition des prévenus, de déterminer le rôle précis de chacun dans la bagarre. Si la référence "aux déclarations des différents participants à l'altercation" figure en effet dans l'ordonnance querellée, elle ne suffit pas en elle-même, au vu des éléments qui précèdent, à fonder le soupçon que le TMC se serait basé sur des éléments auxquels le recourant n'aurait pas eu accès. Le grief de violation du droit d'être entendu doit ainsi être rejeté.</w:t>
      </w:r>
    </w:p>
    <w:p>
      <w:r>
        <w:rPr>
          <w:b/>
        </w:rPr>
        <w:t>E. 3</w:t>
      </w:r>
    </w:p>
    <w:p>
      <w:r>
        <w:t>Le recourant conteste l'existence de charges suffisantes.</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t>- 8/12 - P/5738/2025</w:t>
      </w:r>
    </w:p>
    <w:p>
      <w:r>
        <w:rPr>
          <w:b/>
        </w:rPr>
        <w:t>E. 3.2</w:t>
      </w:r>
    </w:p>
    <w:p>
      <w:r>
        <w:t>En l'espèce, il est établi que le recourant a été impliqué dans l'altercation du 7 mars 2025. Il a été, à cette occasion, sérieusement blessé. S'il affirme n'avoir donné aucun coup, alléguant ainsi avoir eu une attitude purement passive, il se reconnaît pourtant sur une photographie le montrant avec un objet en main dont il admet qu'il s'agirait d'un cadenas. S'il affirme l'avoir récupéré après avoir été frappé avec, l'enquête devra déterminer, par le biais des prélèvements en cours, si tel est vraiment le cas. Au demeurant, le fait que le recourant ait, au vu de ses blessures, été victime de coups, n'est pas incompatible avec le fait qu'il soit aussi un participant à la rixe reprochée et soit, partant, punissable à ce titre. Le fait enfin qu'il se soit rendu de lui-même dans un poste de police, à un moment où il avait manifestement besoin de secours au vu de son état de santé, ne préjuge pas du rôle actif ou purement passif qu'il aurait préalablement tenu dans l'altercation. À ce stade précoce de l'instruction, il existe ainsi des charges suffisantes et graves au sens de l'art. 221 al. 1 CPP.</w:t>
      </w:r>
    </w:p>
    <w:p>
      <w:r>
        <w:rPr>
          <w:b/>
        </w:rPr>
        <w:t>E. 4</w:t>
      </w:r>
    </w:p>
    <w:p>
      <w:r>
        <w:t>Le recourant conteste l'existence d'un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le recourant est de nationalité afghane et sans aucune attache avec la Suisse. S'il affirme ne pas vouloir retourner dans son pays d'origine, affirmant y être en danger de mort, il pourrait néanmoins être tenté de disparaître dans la clandestinité, au vu notamment de la peine concrètement encourue si les faits qui lui sont reprochés devaient s'avérer fondés.</w:t>
      </w:r>
    </w:p>
    <w:p>
      <w:r>
        <w:rPr>
          <w:b/>
        </w:rPr>
        <w:t>E. 5</w:t>
      </w:r>
    </w:p>
    <w:p>
      <w:r>
        <w:t>Le recourant conteste enfin l'existence d'un risque de collusion.</w:t>
      </w:r>
    </w:p>
    <w:p>
      <w:r>
        <w:rPr>
          <w:b/>
        </w:rPr>
        <w:t>E. 5.1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w:t>
      </w:r>
    </w:p>
    <w:p>
      <w:r>
        <w:t>- 9/12 - P/5738/2025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5.2</w:t>
      </w:r>
    </w:p>
    <w:p>
      <w:r>
        <w:t>En l'espèce, l'altercation a impliqué un certain nombre de protagonistes, soit une dizaine selon le rapport d'arrestations, alors que seuls sept individus ont été interpellés. De possibles autres participants n'ont donc pas encore été identifiés. D'autre part, aucune confrontation entre les prévenus n'a encore eu lieu, à teneur du dossier, et une recherche d'images de vidéo-surveillance est en cours, lesquelles devraient permettre d'identifier des témoins ou des participants. Il convient donc d'éviter que le recourant ne puisse influencer ou tenter d'influencer les autres protagonistes ou les éventuels témoins que le Ministère public serait amené à vouloir entendre.</w:t>
      </w:r>
    </w:p>
    <w:p>
      <w:r>
        <w:rPr>
          <w:b/>
        </w:rPr>
        <w:t>E. 6</w:t>
      </w:r>
    </w:p>
    <w:p>
      <w:r>
        <w:t>Avec le TMC, il faut encore retenir qu'aucune mesure de substitution ne paraît propre à pallier les risques retenus (l'art. 237 al. 1 CPP). Le recourant n'en propose d'ailleurs pas.</w:t>
      </w:r>
    </w:p>
    <w:p>
      <w:r>
        <w:rPr>
          <w:b/>
        </w:rPr>
        <w:t>E. 7</w:t>
      </w:r>
    </w:p>
    <w:p>
      <w:r>
        <w:t>Enfin, la durée de la détention ordonnée respecte le principe de proportionnalité, le recourant ne consacrant aucun développement spécifique à ce propos. Son état de santé qu'il allègue péjoré par la procédure, n'est en lui-même pas un motif s'opposant à sa détention, les établissements de détention ayant à disposition des unités hospitalières en cas de besoin médical avéré.</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qui plaide au bénéfice d'une défense d'office, sollicite l'assistance judiciaire pour le recours.</w:t>
      </w:r>
    </w:p>
    <w:p>
      <w:r>
        <w:t>- 10/12 - P/5738/2025</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 du Tribunal fédéral 1B_516/2020 du 3 novembre 2020 consid. 5.1).</w:t>
      </w:r>
    </w:p>
    <w:p>
      <w:r>
        <w:rPr>
          <w:b/>
        </w:rPr>
        <w:t>E. 10.2</w:t>
      </w:r>
    </w:p>
    <w:p>
      <w:r>
        <w:t>En l'occurrence, malgré l'issue du recours, un premier contrôle du bien-fondé de la détention par l'autorité de recours pouvait se justifier en début de détention. L'indemnité du défenseur d'office sera fixée à la fin de la procédure (art. 135 al. 2 CPP). * * * * *</w:t>
      </w:r>
    </w:p>
    <w:p>
      <w:r>
        <w:t>- 11/12 - P/5738/2025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