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ACPR/255/2019 vom 18. Dezember 2018</w:t>
      </w:r>
    </w:p>
    <w:p>
      <w:r>
        <w:t>GE Cour de justice, 2018-12-18, FR</w:t>
      </w:r>
    </w:p>
    <w:p>
      <w:r>
        <w:rPr>
          <w:b/>
        </w:rPr>
        <w:t xml:space="preserve">Quelle: </w:t>
      </w:r>
      <w:r>
        <w:t>https://mcp.opencaselaw.ch/entscheid/ge_gerichte_ACPR_255_2019</w:t>
      </w:r>
    </w:p>
    <w:p>
      <w:r>
        <w:t>FR: GE_GERICHTE ACPR/255/2019 du 18 décembre 2018</w:t>
      </w:r>
    </w:p>
    <w:p>
      <w:r>
        <w:t>IT: GE_GERICHTE ACPR/255/2019 del 18 dicembre 2018</w:t>
      </w:r>
    </w:p>
    <w:p>
      <w:pPr>
        <w:pStyle w:val="Heading2"/>
      </w:pPr>
      <w:r>
        <w:t>Erwägungen</w:t>
      </w:r>
    </w:p>
    <w:p>
      <w:r>
        <w:rPr>
          <w:b/>
        </w:rPr>
        <w:t>E. 1</w:t>
      </w:r>
    </w:p>
    <w:p>
      <w:r>
        <w:t>Le recours est recevable pour avoir été déposé selon la forme et dans le délai prescrits (art. 385 al. 1 et 396 al. 1 CPP), concerner un point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mis à sa charge les frais de la procédure alors qu'il bénéficiait d'une ordonnance de non-entrée en matière.</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rPr>
          <w:b/>
        </w:rPr>
        <w:t>E. 2.2</w:t>
      </w:r>
    </w:p>
    <w:p>
      <w:r>
        <w:t>Cet article est susceptible de s'appliquer dans le cadre d'un retrait de plainte pour une infraction poursuivie sur plainte (arrêt du Tribunal fédéral 6B_1065/2015 du 15 septembre 2016 consid. 2.1).</w:t>
      </w:r>
    </w:p>
    <w:p>
      <w:r>
        <w:t>- 4/8 - P/10198/2018</w:t>
      </w:r>
    </w:p>
    <w:p>
      <w:r>
        <w:rPr>
          <w:b/>
        </w:rPr>
        <w:t>E. 2.3</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 ATF 116 Ia 162 consid. 2c p. 168 ; ATF 144 IV 202 consid. 2.2 ; arrêts du Tribunal fédéral 6B_556/2017 du 15 mars 2018 consid. 2.1 ;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Il peut s'agir d'une norme de droit privé, de droit administratif ou de droit pénal, d'une norme de droit écrit ou non écrit, de droit fédéral ou cantonal. Le fait reproché doit constituer une violation claire de la norme de comportement (ATF 119 Ia 332 consid. 1b p. 334; ATF 116 Ia 162 consid. 2c p. 170 = SJ 1991 27 ; arrêts du Tribunal fédéral 6B_156/2017 du 22 décembre 2017 consid. 4.4 ; 6B_1172/2016 du 29 août 2017 consid. 1.3 ; 6B_1146/2016 du 14 juillet 2017 consid. 1.3 = SJ 2018 I 197), sans égard aux intérêts que cette norme vise à protéger (arrêts du Tribunal fédéral 6B_886/2018 du 31 octobre 2018 consid. 2.1.1 ; 6B_156/2017 du 22 décembre 2017 consid. 4.4). L'art. 426 al. 2 CPP exige non seulement que le prévenu ait adopté un comportement illicite ayant causé l'ouverture de la procédure pénale, mais également une faute. La notion de faute visée par l'art. 426 al. 2 CPP s'apprécie à la lumière d'une application par analogie de l'art. 41 CO (ATF 124 III 297 consid. 5b p. 301 ; 123 III 306 consid. 4a p. 312 ; arrêt du Tribunal fédéral 6B_156/2017 du 22 décembre 2017 consid. 5 et les références citées).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1er octobre 2013 consid. 7.1). Par ailleurs, la notion de faute visée par l'art. 41 CO peut consister, notamment, dans le fait de créer ou de laisser subsister un état de choses dangereux pour autrui sans prendre toutes les mesures commandées par les circonstances afin d'empêcher un dommage de se produire (ATF 124 III 297 consid. 5b p. 301 ; 123 III 306 consid. 4a p. 312 ; arrêt du Tribunal fédéral 6B_156/2017 du 22 décembre 2017 consid. 5 et les références citées).</w:t>
      </w:r>
    </w:p>
    <w:p>
      <w:r>
        <w:t>- 5/8 - P/10198/2018 Enfin, le comportement illicite du prévenu doit se trouver dans un rapport de causalité naturelle et adéquate avec l'ouverture de la procédure pénale (arrêt du Tribunal fédéral 6B_156/2017 du 22 décembre 2017 consid. 6.1, 6.2 et les références citées).</w:t>
      </w:r>
    </w:p>
    <w:p>
      <w:r>
        <w:rPr>
          <w:b/>
        </w:rPr>
        <w:t>E. 2.4</w:t>
      </w:r>
    </w:p>
    <w:p>
      <w:r>
        <w:t>La garantie de l'art. 28 CC protège, notamment, le droit à la vie, à l'intégrité corporelle (physique et psychique), à la liberté sexuelle et à l'honneur (P. PICHONNAZ / B. FOEX [éds], Commentaire romand : Code civil I, 2010, n. 24 ad art. 28). L'honneur, comme partie intégrante de la personnalité en droit civil, est une notion plus large que l'honneur visé par les art. 173 ss CP (ATF 129 III 715 consid. 4.1; arrêt du Tribunal fédéral 6B_87/2012 précité); il comprend le sentiment qu'une personne a de sa propre dignité, les qualités nécessaires à un individu pour être respecté dans son milieu social ainsi que le droit à la considération morale, professionnelle et sociale (arrêt du Tribunal fédéral 6B_486/2015 du 25 mai 2016 consid. 5.2). N'importe quel trouble de la personnalité ne constitue pas une atteinte au sens de l'art. 28 CC. Cette atteinte doit revêtir une certaine intensité, à savoir dépasser le seuil de tolérance que l'on peut attendre de toute personne vivant en société.</w:t>
      </w:r>
    </w:p>
    <w:p>
      <w:r>
        <w:rPr>
          <w:b/>
        </w:rPr>
        <w:t>E. 2.5</w:t>
      </w:r>
    </w:p>
    <w:p>
      <w:r>
        <w:t>En l'espèce, le recourant a admis avoir giflé sa fille le 11 janvier 2018 à ______ (GE). Ainsi, il est manifeste qu'en levant la main sur sa fille, il a porté – en Suisse – une atteinte illicite à l'intégrité physique, et donc à la personnalité, de celle-ci, bien juridiquement protégé par l'art. 28 CC. Par ses agissements, dont il ne pouvait ignorer le caractère illicite, l'appelant a violé une norme de comportement de l'ordre juridique suisse et provoqué l'ouverture de la procédure pénale dirigée contre lui, dans la mesure où ceux-ci ont conduit sa fille à porter plainte. Son comportement civilement répréhensible est donc en relation de causalité naturelle et adéquate avec la poursuite pénale subséquente. Le fait que le Ministère public ait décliné sa compétence, s'agissant des faits survenus le 12 janvier 2018, ne modifie en rien cette conclusion, le comportement illicite retenu pour mettre les frais à charge du recourant se référant expressément aux faits survenus le 11 janvier 2018, pour lesquels le Ministère public a retenu un empêchement de procéder en raison du retrait de la plainte de sa fille. Tout au plus pourrait-on reprocher au Ministère public d'avoir fait entendre le prévenu par la police plusieurs mois après le retrait de la plainte pénale pour une infraction qui n'était pas poursuivie d'office (les conditions des art. 123 ch. 2 al. 2 et 126 ch. 2 let. a CP n'étant pas remplies). Cela étant, les frais de la procédure en CHF 510.- auraient été les mêmes, en raison de l'ordonnance de non-entrée en matière qui aurait de toute façon dû être rendue (art. 6 let. b du Règlement fixant le tarif des frais en matière pénale, RTFMP ; E 4 10.03).</w:t>
      </w:r>
    </w:p>
    <w:p>
      <w:r>
        <w:t>- 6/8 - P/10198/2018 Enfin, c'est à tort que le recourant soutient que la plainte aurait été déposée contre A______ "______ [Nom de famille orthographié différemment]", l'orthographe du nom figurant sur la déclaration de la partie plaignante à la police étant correcte. Le fait que le nom du recourant ait été orthographié de façon incorrecte à deux reprises dans les considérants de l'ordonnance querellée ne permet au demeurant pas de douter de l'identité de la personne concernée.</w:t>
      </w:r>
    </w:p>
    <w:p>
      <w:r>
        <w:rPr>
          <w:b/>
        </w:rPr>
        <w:t>E. 2.6</w:t>
      </w:r>
    </w:p>
    <w:p>
      <w:r>
        <w:t>Justifiée, l'ordonnance querellée sera donc confirmée.</w:t>
      </w:r>
    </w:p>
    <w:p>
      <w:r>
        <w:rPr>
          <w:b/>
        </w:rPr>
        <w:t>E. 3</w:t>
      </w:r>
    </w:p>
    <w:p>
      <w:r>
        <w:t>Le recourant, qui succombe, supportera les frais envers l'État, qui comprendront un émolument de CHF 800.- (art. 428 al. 1 CPP et 13 al. 1 RTFMP). * * * * *</w:t>
      </w:r>
    </w:p>
    <w:p>
      <w:r>
        <w:t>- 7/8 - P/10198/2018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