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ACPR/253/2024 vom 24. November 2023</w:t>
      </w:r>
    </w:p>
    <w:p>
      <w:r>
        <w:t>GE Cour de justice, 2023-11-24, FR</w:t>
      </w:r>
    </w:p>
    <w:p>
      <w:r>
        <w:rPr>
          <w:b/>
        </w:rPr>
        <w:t xml:space="preserve">Quelle: </w:t>
      </w:r>
      <w:r>
        <w:t>https://mcp.opencaselaw.ch/entscheid/ge_gerichte_ACPR_253_2024</w:t>
      </w:r>
    </w:p>
    <w:p>
      <w:r>
        <w:t>FR: GE_GERICHTE ACPR/253/2024 du 24 novembre 2023</w:t>
      </w:r>
    </w:p>
    <w:p>
      <w:r>
        <w:t>IT: GE_GERICHTE ACPR/253/2024 del 24 novembre 2023</w:t>
      </w:r>
    </w:p>
    <w:p>
      <w:pPr>
        <w:pStyle w:val="Heading2"/>
      </w:pPr>
      <w:r>
        <w:t>Erwägungen</w:t>
      </w:r>
    </w:p>
    <w:p>
      <w:r>
        <w:rPr>
          <w:b/>
        </w:rPr>
        <w:t>E. 1</w:t>
      </w:r>
    </w:p>
    <w:p>
      <w:r>
        <w:t>La Chambre pénale de recours peut décider d'emblée de traiter sans échange d'écritures ni débats les recours manifestement irrecevables et mal fondés (art. 390 al. 2 et 5 a contrario CPP). Tel est le cas en l'occurrence, au vu des considérations qui suivent.</w:t>
      </w:r>
    </w:p>
    <w:p>
      <w:r>
        <w:rPr>
          <w:b/>
        </w:rPr>
        <w:t>E. 2</w:t>
      </w:r>
    </w:p>
    <w:p>
      <w:r>
        <w:t>Le recours, qui concerne une ordonnance sujette à recours auprès de la Chambre de céans (art. 310 al. 2, 322 al. 2 et 393 al. 1 let. a CPP) et émane du plaignant, partie à la procédure (art. 104 al. 1 let. b CPP), a été déposé selon la forme et dans le délai prescrits (art. 384 let. b, 385 al. 1 et 396 al. 1 CPP).</w:t>
      </w:r>
    </w:p>
    <w:p>
      <w:r>
        <w:rPr>
          <w:b/>
        </w:rPr>
        <w:t>E. 3</w:t>
      </w:r>
    </w:p>
    <w:p>
      <w:r>
        <w:t>Pas une ligne du recours n’est consacrée à motiver en quoi les passages de l’expertise mis en évidence seraient constitutifs d’atteintes à l’honneur commises par la mère des enfants. Il n’y a donc pas à revenir sur ce volet de la décision attaquée, soit qu’il apparaisse, en réalité, non contesté (art. 385 al. 1 let. a CPP), soit que sa critique s’avère inexistante (art. 385 al. 1 let. b CPP), pour n’avoir pas dépassé le rappel des textes légaux. En d’autres termes, il convient d’examiner uniquement si l’insuffisance des charges à l’appui d’une violation de l’art. 219 CP doit être confirmée.</w:t>
      </w:r>
    </w:p>
    <w:p>
      <w:r>
        <w:rPr>
          <w:b/>
        </w:rPr>
        <w:t>E. 4</w:t>
      </w:r>
    </w:p>
    <w:p>
      <w:r>
        <w:t>Encore faut-il que le recourant ait qualité pour recourir sur ce point (art. 382 al. 1 CPP).</w:t>
      </w:r>
    </w:p>
    <w:p>
      <w:r>
        <w:rPr>
          <w:b/>
        </w:rPr>
        <w:t>E. 4.1</w:t>
      </w:r>
    </w:p>
    <w:p>
      <w:r>
        <w:t>Les conditions de recevabilité d'un recours s'examinent d'office, et toute partie recourante peut et doit s'attendre qu'une telle question soit examinée, sans qu'il n'en résulte de violation de son droit d'être entendue à cet égard (arrêt du Tribunal fédéral 6B_1207/2013 du 14 mai 2014 consid. 2.1 ; ACPR/99/2024 du 12 février 2024 consid. 2.2.1.).</w:t>
      </w:r>
    </w:p>
    <w:p>
      <w:r>
        <w:rPr>
          <w:b/>
        </w:rPr>
        <w:t>E. 4.2</w:t>
      </w:r>
    </w:p>
    <w:p>
      <w:r>
        <w:t>L'infraction réprimée par l'art. 219 CP sanctionne quiconque viole son devoir d'assister ou d'élever une personne mineure dont il met en danger le développement physique ou psychique, ou qui manque à ce devoir. Le bien juridique protégé par cette disposition est le développement physique ou psychique du mineur, soit d'une personne âgée de moins de 18 ans (ATF 126 IV 136 consid. 1b ; arrêt du Tribunal fédéral 6B_978/2021 du 5 octobre 2022 consid. 5.5.2.). Son titulaire est par conséquent l'enfant, et non ses parents (arrêt du Tribunal fédéral 7B_27/2023 du 12 septembre 2023 consid. 1.3.).</w:t>
      </w:r>
    </w:p>
    <w:p>
      <w:r>
        <w:t>- 5/10 - P/21928/2022 L'art. 115 al. 2 CPP ajoute que sont toujours considérées comme des lésées les personnes qui ont qualité pour déposer plainte pénale. Cette disposition étend donc la qualité de lésé à d'autres personnes habilitées, soit les représentants légaux, les héritiers du lésé, ainsi que des autorités et organisations habilitées à porter plainte (arrêts du Tribunal fédéral 1B_40/2020 du 18 juin 2020 consid. 3.). L'art. 116 al. 2 CPP confère aux proches de la victime – soit notamment au père de la personne lésée qui, du fait d'une infraction, aurait subi une atteinte directe à son intégrité physique/psychique (art. 116 CPP) – un statut de victime indirecte. Le droit du proche de se constituer personnellement partie plaignante implique, comme le confirme la combinaison des art. 117 al. 3 et 122 al. 2 CPP, qu'il fasse valoir des prétentions civiles propres dans la procédure pénale (ATF 139 IV 89 consid. 2.2 ; arrêt du Tribunal fédéral 6B_641/2022 du 25 janvier 2023 consid. 2.1). À défaut, la qualité de partie lui est déniée (arrêt du Tribunal fédéral 6B_1105/2016 du 14 juin 2017 consid. 2.2.). Ses prétentions doivent, en outre,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w:t>
      </w:r>
    </w:p>
    <w:p>
      <w:r>
        <w:rPr>
          <w:b/>
        </w:rPr>
        <w:t>E. 4.3</w:t>
      </w:r>
    </w:p>
    <w:p>
      <w:r>
        <w:t>En l'occurrence, le bien juridiquement protégé par la disposition pénale en cause appartient aux enfants du recourant, lequel, en tant qu’il ne paraît pas privé de l’autorité parentale (cf. ordonnance du TPAE du 4 octobre 2022 p. 2), avait qualité pour déposer plainte pénale en leurs noms. Cela étant, le recours, lui, n’a pas été déposé au nom des enfants, mais du recourant exclusivement. Par ailleurs, le recourant ne détaille nullement, dans son acte de recours, les motifs pour lesquels il s'estimerait fondé à attaquer personnellement le refus de poursuivre l'infraction à l'art. 219 CP ; il se borne à alléguer que son intérêt juridique à l’annulation de l’ordonnance attaquée serait « manifeste ». Il ne prétend notamment pas que sa vie ou sa santé auraient été mis en danger par le comportement qu’il impute à la mise en cause. De plus, il n’allègue ni ne rend vraisemblable avoir subi, du chef du comportement prêté à cette dernière, des souffrances morales comparables à celles qui auraient été les siennes en cas de mort de l’un ou l’autre des enfants. Dans ces conditions, la recevabilité du recours est plus que douteuse. Ce nonobstant, vu l’issue du recours sur le fond, la question n’a pas à être tranchée.</w:t>
      </w:r>
    </w:p>
    <w:p>
      <w:r>
        <w:rPr>
          <w:b/>
        </w:rPr>
        <w:t>E. 5</w:t>
      </w:r>
    </w:p>
    <w:p>
      <w:r>
        <w:t>Le recourant reproche au Ministère public de n’avoir entrepris aucune démarche à la suite du dépôt de sa plainte, sauf à verser au dossier l’expertise du 27 octobre 2023.</w:t>
      </w:r>
    </w:p>
    <w:p>
      <w:r>
        <w:t>- 6/10 - P/21928/2022</w:t>
      </w:r>
    </w:p>
    <w:p>
      <w:r>
        <w:rPr>
          <w:b/>
        </w:rPr>
        <w:t>E. 5.1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w:t>
      </w:r>
    </w:p>
    <w:p>
      <w:r>
        <w:rPr>
          <w:b/>
        </w:rPr>
        <w:t>E. 5.2</w:t>
      </w:r>
    </w:p>
    <w:p>
      <w:r>
        <w:t>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 si le délinquant a agi par négligence, la peine pourra être une amende au lieu d'une peine privative de liberté ou d'une peine pécuniaire (al. 2).</w:t>
      </w:r>
    </w:p>
    <w:p>
      <w:r>
        <w:rPr>
          <w:b/>
        </w:rPr>
        <w:t>E. 5.3</w:t>
      </w:r>
    </w:p>
    <w:p>
      <w:r>
        <w:t>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 ainsi, sont notamment des garants les parents naturels. L'auteur doit avoir violé son devoir d'assistance ou d'éducation ou manqué à ce devoir. Le comportement délictueux peut donc consister en une action ou en une omission. Dans le premier cas, l'auteur viole positivement son devoir, par exemple en maltraitant le mineur. Dans le second cas, il manque passivement à son obligation, par exemple en abandonnant l'enfant, en négligeant de lui donner des soins. 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w:t>
      </w:r>
    </w:p>
    <w:p>
      <w:r>
        <w:t>- 7/10 - P/21928/2022 doit apparaître vraisemblable dans le cas concret. L'infraction peut être commise intentionnellement ou par négligence. Le dol éventuel suffit pour que l'infraction soit réalisée intentionnellement (ATF 149 IV 240 consid. 2.2).</w:t>
      </w:r>
    </w:p>
    <w:p>
      <w:r>
        <w:rPr>
          <w:b/>
        </w:rPr>
        <w:t>E. 5.4</w:t>
      </w:r>
    </w:p>
    <w:p>
      <w:r>
        <w:t>À la lumière de ces principes, les griefs du recourant tombent à faux. À la décision attaquée, le recourant oppose, en tout et pour tout, sa lecture du rapport d’expertise du 27 octobre 2023. Elle n’est pas moins sélective, à vrai dire, que celle qu’il reproche au Ministère public dans la partie en fait de la décision attaquée. Même les extraits qu’il met en évidence et qui sont censés constituer sa démonstration de charges suffisantes contre la mère des enfants ne lui sont d’aucun secours. En effet, que la relation mère-fille se péjore ; que la qualité des apprentissages et l’attitude de la fillette se soient dégradées à partir du moment où elle n’avait plus pu voir son père ; que le garçon pleure à l’idée de retourner chez sa mère, au motif selon lui qu’elle voudrait l’empêcher de revoir son père ; et que nombre de visites entre la mère et la fille (placée) se déroulent mal, ne sont pas les indices d’une mise en danger concrète des deux enfants lorsqu’ils se trouvent, ensemble ou séparément, auprès de leur mère. Preuve en soit que les experts concluent, sans ambiguïté, à l’absence de limitation des compétences parentales de celle-ci et au maintien de la garde exclusive des enfants auprès d’elle. Preuve en soit aussi que, avant eux, la pédopsychiatre suivant la fillette estimait que le recourant prenait erronément les affirmations de celle-ci au pied de la lettre. À cet égard, on doit souligner que les exemples donnés par l’enfant à la spécialiste (douleurs à la coupe des ongles ; mauvais choix de coiffeur ou de logopédiste) sont des actes isolés, dont – à les supposer constitutifs de maltraitance maternelle – on ne voit pas quelles séquelles durables ils risquaient d’entraîner sur la fillette (cf. ATF 149 IV 240 loc. cit.). Dans le cas contraire, on peut gager que les experts – qui se sont livrés aux travaux minutieusement énumérés aux pp. 3 à 5 de leur rapport et qui ont entendu chacun des deux mineurs (pp. 24 et 28) – n’eussent pas manquer de relever le moindre signe de mauvais traitements ou de mise en danger de la santé physique ou psychique des enfants par la mère – et que le TPAE n’eût, alors, pas manqué d’intervenir de façon appropriée –. Or, il n’en est rien. La bonne santé apparente des enfants est relevée par les experts, en dépit des convictions contraires du recourant. Si le TPAE est intervenu, notamment le 4 octobre 2022, soit dans un temps voisin du dépôt de la plainte pénale, c’est plutôt à l’encontre du recourant et pour des raisons étrangères à d’éventuelles maltraitances imputables à la mère. Ainsi, la mention, dans la décision rendue ce jour-là, d’une fugue de la fillette, quelques jours plus tôt, est mise en relation avec une crainte de l’enfant, non pas que sa mère ne lui fît du mal, mais en</w:t>
      </w:r>
    </w:p>
    <w:p>
      <w:r>
        <w:t>- 8/10 - P/21928/2022 fît au recourant ; de surcroît, la fillette se mettait elle-même physiquement en danger, i.e. sans que la mère y tînt de rôle. De ce qui précède, il suit que le grief de violation des art. 310 al. 1 let. a et 219 CP s’avère mal fondé.</w:t>
      </w:r>
    </w:p>
    <w:p>
      <w:r>
        <w:rPr>
          <w:b/>
        </w:rPr>
        <w:t>E. 6</w:t>
      </w:r>
    </w:p>
    <w:p>
      <w:r>
        <w:t>On ne voit pas ce qu’y changerait le déroulement, à une reprise « au moins », d’une confrontation entre le recourant et la mère des enfants, sous les auspices du Ministère public, dès lors que pareil acte de procédure ne pourra pas accréditer les allégations de mise en danger concrète des enfants par le fait de leur mère, mais offrira tout au plus aux deux parents l’occasion de camper sur leurs positions.</w:t>
      </w:r>
    </w:p>
    <w:p>
      <w:r>
        <w:rPr>
          <w:b/>
        </w:rPr>
        <w:t>E. 7</w:t>
      </w:r>
    </w:p>
    <w:p>
      <w:r>
        <w:t>C’est donc à juste titre que le Ministère public a refusé d’entrer en matière.</w:t>
      </w:r>
    </w:p>
    <w:p>
      <w:r>
        <w:rPr>
          <w:b/>
        </w:rPr>
        <w:t>E. 8</w:t>
      </w:r>
    </w:p>
    <w:p>
      <w:r>
        <w:t>Le recourant, qui succombe, supportera les frais envers l'État, qui seront fixés en totalité à CHF 1'000.- (art. 428 al. 1 CPP et 13 al. 1 du Règlement fixant le tarif des frais en matière pénale, RTFMP ; E 4 10.03). * * * * *</w:t>
      </w:r>
    </w:p>
    <w:p>
      <w:r>
        <w:t>- 9/10 - P/21928/2022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