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ACPR/252/2022 vom 14. April 2022</w:t>
      </w:r>
    </w:p>
    <w:p>
      <w:r>
        <w:t>GE Cour de justice, 2022-04-14, FR</w:t>
      </w:r>
    </w:p>
    <w:p>
      <w:r>
        <w:rPr>
          <w:b/>
        </w:rPr>
        <w:t xml:space="preserve">Quelle: </w:t>
      </w:r>
      <w:r>
        <w:t>https://mcp.opencaselaw.ch/entscheid/ge_gerichte_ACPR_252_2022</w:t>
      </w:r>
    </w:p>
    <w:p>
      <w:r>
        <w:t>FR: GE_GERICHTE ACPR/252/2022 du 14 avril 2022</w:t>
      </w:r>
    </w:p>
    <w:p>
      <w:r>
        <w:t>IT: GE_GERICHTE ACPR/252/2022 del 14 aprile 2022</w:t>
      </w:r>
    </w:p>
    <w:p>
      <w:pPr>
        <w:pStyle w:val="Heading2"/>
      </w:pPr>
      <w:r>
        <w:t>Erwägungen</w:t>
      </w:r>
    </w:p>
    <w:p>
      <w:r>
        <w:rPr>
          <w:b/>
        </w:rPr>
        <w:t>E. 1</w:t>
      </w:r>
    </w:p>
    <w:p>
      <w:r>
        <w:t>Le recours pour déni de justice ou retard injustifié n'est soumis à aucun délai (art. 396 al. 2 CPP). Par ailleurs, le présent recours a été déposé selon la forme prescrite (art. 393 et 396 al. 1 CPP) et émane de la plaignante (art. 104 al. 1 let. b CPP), qui, agissant par son avocate, mandatée par sa représentante légale (art. 106</w:t>
      </w:r>
    </w:p>
    <w:p>
      <w:r>
        <w:t>- 6/9 - P/13715/2021 al. 2 CPP), a qualité pour agir ayant un intérêt juridiquement protégé à ce qu'il soit statué sur sa demande (art. 382 al. 1 CPP). Partant, il est recevable.</w:t>
      </w:r>
    </w:p>
    <w:p>
      <w:r>
        <w:rPr>
          <w:b/>
        </w:rPr>
        <w:t>E. 2</w:t>
      </w:r>
    </w:p>
    <w:p>
      <w:r>
        <w:t>La recourante se plaint d'un déni de justice.</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Si l'autorité refuse de statuer sur une requête qui lui a été adressée, soit en l'ignorant purement et simplement, soit en refusant d'entrer en matière, elle commet un déni de justice formel (G. PIQUEREZ/ A. MACALUSO, Procédure pénale suisse : Manuel, 3e éd., Zurich 2011, n. 187).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arrêt du Tribunal fédéral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119 IV 107 consid. 1c). Toutefois, pour pouvoir invoquer avec succès un retard injustifié à statuer, la partie doit être vainement intervenue auprès de l'autorité pénale pour que celle-ci statue à bref délai (arrêt du Tribunal fédéral 1B_24/2013 du 12 février 2013 et les références citées; ACPR/122/2013 du 28 mars 2013). Il</w:t>
      </w:r>
    </w:p>
    <w:p>
      <w:r>
        <w:t>- 7/9 - P/13715/2021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2A.588/2006 du 19 avril 2007 consid. 2 et la référence à l'ATF 125 V 373 consid. 2b/aa p. 375; 6B_1066/2013 du 27 février 2014 consid. 1.1.2).</w:t>
      </w:r>
    </w:p>
    <w:p>
      <w:r>
        <w:rPr>
          <w:b/>
        </w:rPr>
        <w:t>E. 2.2</w:t>
      </w:r>
    </w:p>
    <w:p>
      <w:r>
        <w:t>En l'espèce, la lecture du dossier ne révèle aucune période d'inactivité notable de la part du Ministère public. À la suite du dépôt de plainte, le 21 juin 2021, la Procureure a ouvert une instruction pénale et entendu la personne mise en cause le 8 juillet 2021. À l'issue de l'audience, elle a transmis à la police un mandat d'actes d'enquête visant à extraire et analyser le contenu du téléphone portable du prévenu, ainsi qu'à entendre deux témoins. Elle a relancé la police le 21 décembre 2021. Il est vrai qu’elle n’a agi qu’à la suite du pli de la recourante du 13 précédent. Cette démarche après une période de quatre mois sans aucun acte d'instruction peut susciter l’interrogation, d’autant qu’une atteinte grave à l’intégrité sexuelle d’une mineure est en jeu – et n’a pas été contestée par le prévenu, ce qui devrait faciliter en soi une progression de l’instruction et une prompte clôture de la procédure préliminaire. Cela étant, la durée susmentionnée, même augmentée de l’écoulement du temps jusqu’à la date de dépôt du recours, ne se qualifie pas encore de lenteur significative dans la conduite de la procédure, car un tel laps de temps reste en-deçà des limites à partir desquelles la jurisprudence considère qu’une inactivité de l’autorité pénale est choquante. Par ailleurs, la police a informé la Procureure que les auditions et analyse requises seraient achevées au début de l'année 2022 ; elle lui a récemment transmis la transcription de l’audition de la recourante. La Procureure a également précisé qu'une fois en possession de ces éléments, une audience de confrontation serait convoquée. En l'état, rien ne laisse donc supposer que la procédure préliminaire ne sera pas menée à terme dans un délai raisonnable. Par ailleurs, la Procureure n'a pas refusé la mise en prévention complémentaire sollicitée par la recourante, mais considère qu'il y a lieu d'attendre la réception du rapport de police pour décider si elle se justifie. Dans l'intervalle, aucune preuve n'est, pour le surplus, menacée de disparition. Compte tenu de l'ensemble de ces éléments, on peut admettre qu’aucun déni de justice ni aucun retard à statuer ne sont constitués.</w:t>
      </w:r>
    </w:p>
    <w:p>
      <w:r>
        <w:t>- 8/9 - P/13715/2021</w:t>
      </w:r>
    </w:p>
    <w:p>
      <w:r>
        <w:rPr>
          <w:b/>
        </w:rPr>
        <w:t>E. 3</w:t>
      </w:r>
    </w:p>
    <w:p>
      <w:r>
        <w:t>Le recours s'avère infondé et pouvait être traité d'emblée par la Chambre de céans sans échange d'écritures ni débats (art. 390 al. 2 a contrario CPP).</w:t>
      </w:r>
    </w:p>
    <w:p>
      <w:r>
        <w:rPr>
          <w:b/>
        </w:rPr>
        <w:t>E. 4</w:t>
      </w:r>
    </w:p>
    <w:p>
      <w:r>
        <w:t>La recourante succombe, mais, dans la mesure où l'assistance judiciaire lui a été accordée, sera exonérée des frais de la procédure (art. 136 al. 2 let. b CPP).</w:t>
      </w:r>
    </w:p>
    <w:p>
      <w:r>
        <w:rPr>
          <w:b/>
        </w:rPr>
        <w:t>E. 5</w:t>
      </w:r>
    </w:p>
    <w:p>
      <w:r>
        <w:t>Il n'y a pas lieu d'indemniser, à ce stade (cf. art. 135 al. 2 cum 138 al. 1 CPP), son conseil juridique gratuit. * * * * *</w:t>
      </w:r>
    </w:p>
    <w:p>
      <w:r>
        <w:t>- 9/9 - P/13715/2021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