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ACPR/250/2022 vom 13. Dezember 2021</w:t>
      </w:r>
    </w:p>
    <w:p>
      <w:r>
        <w:t>GE Cour de justice, 2021-12-13, FR</w:t>
      </w:r>
    </w:p>
    <w:p>
      <w:r>
        <w:rPr>
          <w:b/>
        </w:rPr>
        <w:t xml:space="preserve">Quelle: </w:t>
      </w:r>
      <w:r>
        <w:t>https://mcp.opencaselaw.ch/entscheid/ge_gerichte_ACPR_250_2022</w:t>
      </w:r>
    </w:p>
    <w:p>
      <w:r>
        <w:t>FR: GE_GERICHTE ACPR/250/2022 du 13 décembre 2021</w:t>
      </w:r>
    </w:p>
    <w:p>
      <w:r>
        <w:t>IT: GE_GERICHTE ACPR/250/2022 del 13 dicembre 2021</w:t>
      </w:r>
    </w:p>
    <w:p>
      <w:pPr>
        <w:pStyle w:val="Heading2"/>
      </w:pPr>
      <w:r>
        <w:t>Erwägungen</w:t>
      </w:r>
    </w:p>
    <w:p>
      <w:r>
        <w:rPr>
          <w:b/>
        </w:rPr>
        <w:t>E. 1</w:t>
      </w:r>
    </w:p>
    <w:p>
      <w:r>
        <w:t>Conformément à l'art. 128 al. 2 let. a et al. 3 LOJ, la Chambre de céans exerce les compétences que le CPP et la LaCP lui attribuent. En vertu de la délégation figurant à l'art. 439 al. 1 CPP, le législateur genevois a attribué à la Chambre pénale de recours la compétence de statuer sur les recours dirigés contre les décisions rendues par le DSE, ses offices et ses services, les art. 379 à 397 CPP s'appliquant par analogie (art. 42 al. 1 let. a LaCP).</w:t>
      </w:r>
    </w:p>
    <w:p>
      <w:r>
        <w:t>- 12/17 - PS/61/2021 Le recours est, en l'espèce, dirigé contre une décision rendue par le SAPEM, dans une matière pour laquelle il est compétent (art. 5 al. 2 let. e et i et al. 5 LaCP; ATF 142 IV 1 consid. 2), a été déposé dans le délai et la forme prescrits (art. 393 et 396 CPP) et émane du condamné visé par la décision querellée, qui a un intérêt juridiquement protégé à l'annulation de la décision entreprise (art. 382 al. 1 CPP). Le recours sera donc déclaré recevable à la forme.</w:t>
      </w:r>
    </w:p>
    <w:p>
      <w:r>
        <w:rPr>
          <w:b/>
        </w:rPr>
        <w:t>E. 2</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Pour qu'un risque de fuite au sens de cette disposition soit avéré, il faut que l'intéressé ait la ferme et durable intention de s'évader, en ayant recours à la force si nécessaire, et qu'il dispose des facultés intellectuelles, physiques et psychiques</w:t>
      </w:r>
    </w:p>
    <w:p>
      <w:r>
        <w:t>- 13/17 - PS/61/2021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peur que le condamné puisse représenter une menace envers les tiers une fois en liberté. Il s'agit ici de la dangerosité externe du prévenu (arrêt du Tribunal fédéral 6B_372/2012 du 27 septembre 2012 consid. 2.3; 6B_517/2012 du 21 janvier 2013 consid. 3.1.2; R. ROTH / L. MOREILLON (éds), Code pénal I : art. 1-100 CP, Bâle 2009, n. 28 ad art. 59).</w:t>
      </w:r>
    </w:p>
    <w:p>
      <w:r>
        <w:rPr>
          <w:b/>
        </w:rPr>
        <w:t>E. 3</w:t>
      </w:r>
    </w:p>
    <w:p>
      <w:r>
        <w:t>En l'espèce, le recourant considère ne pas présenter des risques qualifiés de fuite et de récidive. En l'état, il ne s'est plus trouvé en situation de fuguer puisque depuis janvier 2018, il est placé en milieu fermé. Il convient cependant de considérer qu'il n'a pas décidé sur un coup de tête de partir, en août 2017, au Luxembourg mais avait anticipé son départ, les contacts dans ce pays et la poursuite de son traitement depuis un certain temps à la suite du jugement du TAPEM en janvier 2017 (cf. supra B.h). Son souhait pressant de venir en aide à sa famille motive sa demande de pouvoir travailler. S'il se trouvait en milieu ouvert sans pouvoir apporter le secours financier, tout laisse penser qu'il voudrait fuir pour y répondre; son discours, repris par l'expertise d'août 2021, va en ce sens. Ce risque de fuite est ainsi qualifié, ce qui suffit à remplir les conditions de l'art. 59 al. 3 CP. Dans son arrêt du 27 juin 2019, la Chambre de céans avait statué : "Il est cependant établi que, durant cette période, il a continué le traitement lui permettant de stabiliser son état et n'a fait l'objet d'aucune condamnation inscrite aux casiers judiciaires luxembourgeois et allemand. Il n'apparaît ainsi pas qu'il ait présenté une menace pour des tiers pendant cette période. Cependant, rien au dossier ne permet de déterminer quand il aurait été interpelé par les autorités luxembourgeoises ni combien de temps aurait duré la procédure d'extradition. Ce faisant, la Chambre de céans n'est pas en mesure d'apprécier la part prise par sa propre volonté de ne pas consommer et celle de la mesure carcérale" (cons. 3). L'expertise du 4 août 2021 évalue le risque de récidive de passages à l'acte violents graves (tels que ceux pour lesquels sa participation a été établie) comme étant moyen à élevé. Les décompensations psychotiques étaient en lien avec sa consommation de cannabis. Bien que le recourant affirme être abstinent, il a néanmoins été testé positif à cette substance en mars 2017, alors qu'il était au pénitencier. Il n'est ainsi pas totalement abstinent, et en tout cas pas depuis une période suffisamment longue pour que l'on considère cet objectif atteint, de surcroit si on lie cette consommation avec le</w:t>
      </w:r>
    </w:p>
    <w:p>
      <w:r>
        <w:t>- 14/17 - PS/61/2021 risque de trafic de stupéfiant et dès lors l'accès facile à ces substances. Dans l'hypothèse où l'intéressé serait en milieu ouvert, le risque de récidive d'actes graves est concret et qualifié. La Chambre de céans ne peut pas suivre le recourant quand il considère que les experts seraient favorables à un passage en milieu ouvert; elle estime que l'expression que "la poursuite du traitement devant être avant tout thérapeutique et viser à une insertion professionnelle et sociale progressive", doit être lue à la suite de "la seconde condition impliquait un traitement psychiatrique intégré (psychiatrique et psychothérapeutique) et une prise en charge davantage cadrante et structurante sur le plan thérapeutique (toujours associée à la dispense d'un traitement antipsychotique)". Cela correspond à un placement à B______ où des élargissements seront progressivement accordés. Le placement en milieu fermé est dès lors un moyen approprié de parvenir à une stabilisation de l'état du recourant et, partant, à prévenir les risques de récidive et de fuite. Le passage en milieu ouvert est, en l'état, prématuré.</w:t>
      </w:r>
    </w:p>
    <w:p>
      <w:r>
        <w:rPr>
          <w:b/>
        </w:rPr>
        <w:t>E. 4</w:t>
      </w:r>
    </w:p>
    <w:p>
      <w:r>
        <w:t>Justifiée,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Le recourant sollicite l'assistance juridique et la nomination de Me C______ comme avocat d'office pour la procédure de recours.</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chef d'étude est rémunéré au tarif de CHF 200.-/heure, débours de l'étude inclus.</w:t>
      </w:r>
    </w:p>
    <w:p>
      <w:r>
        <w:t>- 15/17 - PS/61/2021</w:t>
      </w:r>
    </w:p>
    <w:p>
      <w:r>
        <w:rPr>
          <w:b/>
        </w:rPr>
        <w:t>E. 6.2</w:t>
      </w:r>
    </w:p>
    <w:p>
      <w:r>
        <w:t>En l'espèce, le recourant, détenu dans le cadre de l'exécution d'une mesure, est vraisemblablement indigent. Sa pathologie et l'importance de la cause, compte tenu de l'enjeu d'un passage en milieu fermé, commandent qu'il soit assisté d'un avocat. Il en résulte que la demande de nomination de Me C______ en qualité d'avocat d'office, et, partant, de l'assistance judiciaire, sera accordée ainsi que l'indemnité sollicitée de CHF 1'669.35 (TVA incluse). * * * * *</w:t>
      </w:r>
    </w:p>
    <w:p>
      <w:r>
        <w:t>- 16/17 - PS/61/2021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