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ACPR/250/2021 vom 19. April 2021</w:t>
      </w:r>
    </w:p>
    <w:p>
      <w:r>
        <w:t>GE Cour de justice, 2021-04-19, FR</w:t>
      </w:r>
    </w:p>
    <w:p>
      <w:r>
        <w:rPr>
          <w:b/>
        </w:rPr>
        <w:t xml:space="preserve">Quelle: </w:t>
      </w:r>
      <w:r>
        <w:t>https://mcp.opencaselaw.ch/entscheid/ge_gerichte_ACPR_250_2021</w:t>
      </w:r>
    </w:p>
    <w:p>
      <w:r>
        <w:t>FR: GE_GERICHTE ACPR/250/2021 du 19 avril 2021</w:t>
      </w:r>
    </w:p>
    <w:p>
      <w:r>
        <w:t>IT: GE_GERICHTE ACPR/250/2021 del 19 aprile 2021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Si effectivement seules les charges liées aux infractions à la LStup et à l'art. 148a CP doivent être considérées en l'état, le recourant ayant été remis en liberté s'agissant des autres faits, elles apparaissent suffisantes pour justifier la détention provisoire de l'intéressé recourant compte tenu des soupçons qui pèsent sur lui au regard des conversations, en lien avec le trafic de stupéfiants, à analyser, et des observations policières l'ayant vu remettre à son co-prévenu un sac qui aurait contenu du produit de coupage.</w:t>
      </w:r>
    </w:p>
    <w:p>
      <w:r>
        <w:rPr>
          <w:b/>
        </w:rPr>
        <w:t>E. 3</w:t>
      </w:r>
    </w:p>
    <w:p>
      <w:r>
        <w:t>Le recourant conteste le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w:t>
      </w:r>
    </w:p>
    <w:p>
      <w:r>
        <w:t>- 9/11 - P/23355/2020 consid. 3.2 p. 23; 128 I 149 consid. 2.1 p. 151; 123 I 31 consid. 3c p. 35 et les références).</w:t>
      </w:r>
    </w:p>
    <w:p>
      <w:r>
        <w:rPr>
          <w:b/>
        </w:rPr>
        <w:t>E. 3.2</w:t>
      </w:r>
    </w:p>
    <w:p>
      <w:r>
        <w:t>En l'occurrence, l'instruction n'est pas terminée. Le recourant et son co-prévenu, ont refusé de s'exprimer, lors de la précédente audience, sur les conversations qu'ils ont eues dans la voiture et qui fondent principalement la prévention de trafic de stupéfiants. S'ils ont le droit de se taire et ainsi de faire reporter cette audience, cela ne fait pas disparaître le risque de collusion ni l'importance de ces audiences; le risque existait qu'ils s'entendent sur le sens à donner à leurs discussions. Leur confrontation est ainsi déterminante pour éclaircir le rôle du recourant. La mesure de substitution proposée par le recourant pour pallier ce risque n'apparait pas suffisante; une interdiction de contact n'engagerait que lui et serait invérifiable quand bien même son comparse serait encore détenu. Il pourrait à l'évidence faire transiter les informations par des tiers.</w:t>
      </w:r>
    </w:p>
    <w:p>
      <w:r>
        <w:rPr>
          <w:b/>
        </w:rPr>
        <w:t>E. 4</w:t>
      </w:r>
    </w:p>
    <w:p>
      <w:r>
        <w:t>Le risque de collusion étant réalisé, il ne sera pas procédé à l'examen du danger de fuite retenu par le premier juge. La Chambre de céans peut, en effet, s'en dispenser lorsqu'une des hypothèses prévues à l'art. 221 al. 1 CP est réalisée (arrêt du Tribunal fédéral 1B_322/2019 du 15 décembre 2019 consid. 3.3 et la jurisprudence citée).</w:t>
      </w:r>
    </w:p>
    <w:p>
      <w:r>
        <w:rPr>
          <w:b/>
        </w:rPr>
        <w:t>E. 5</w:t>
      </w:r>
    </w:p>
    <w:p>
      <w:r>
        <w:t>Le principe de la proportionnalité implique que la détention provisoire soit en adéquation avec la gravité du délit et la sanction prévisible (ATF 142 IV 389 consid. 4.1 p. 395). En tout état de cause, la détention avant jugement ne doit pas durer plus longtemps que la peine privative de liberté prévisible (art. 212 al. 3 CPP). En l'espèce, détenu depuis fin décembre 2020, le seuil critique n'a pas été atteint au regard des infractions retenues.</w:t>
      </w:r>
    </w:p>
    <w:p>
      <w:r>
        <w:rPr>
          <w:b/>
        </w:rPr>
        <w:t>E. 6</w:t>
      </w:r>
    </w:p>
    <w:p>
      <w:r>
        <w:t>Le recours s'avère ainsi infondé et doit être rejeté.</w:t>
      </w:r>
    </w:p>
    <w:p>
      <w:r>
        <w:rPr>
          <w:b/>
        </w:rPr>
        <w:t>E. 7</w:t>
      </w:r>
    </w:p>
    <w:p>
      <w:r>
        <w:t>Le recourant, bien qu'au bénéfice de l'assistance juridique succombe. Il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900.- (art. 13 al. 1 du Règlement fixant le tarif des frais en matière pénale, RTFMP; E 4 10.03).</w:t>
      </w:r>
    </w:p>
    <w:p>
      <w:r>
        <w:rPr>
          <w:b/>
        </w:rPr>
        <w:t>E. 8</w:t>
      </w:r>
    </w:p>
    <w:p>
      <w:r>
        <w:t>Il n'y a pas lieu d'indemniser à ce stade le défenseur d'office (art. 135 al. 2 CPP). * * * * *</w:t>
      </w:r>
    </w:p>
    <w:p>
      <w:r>
        <w:t>- 10/11 - P/23355/2020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