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ACPR/250/2020 vom 25. Februar 2020</w:t>
      </w:r>
    </w:p>
    <w:p>
      <w:r>
        <w:t>GE Cour de justice, 2020-02-25, FR</w:t>
      </w:r>
    </w:p>
    <w:p>
      <w:r>
        <w:rPr>
          <w:b/>
        </w:rPr>
        <w:t xml:space="preserve">Quelle: </w:t>
      </w:r>
      <w:r>
        <w:t>https://mcp.opencaselaw.ch/entscheid/ge_gerichte_ACPR_250_2020</w:t>
      </w:r>
    </w:p>
    <w:p>
      <w:r>
        <w:t>FR: GE_GERICHTE ACPR/250/2020 du 25 février 2020</w:t>
      </w:r>
    </w:p>
    <w:p>
      <w:r>
        <w:t>IT: GE_GERICHTE ACPR/250/2020 del 25 febbraio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PERRIER DEPEURSINGE (éds), Commentaire romand : Code de procédure pénale suisse, Bâle 2011,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Il résulte implicitement de la lettre du défenseur du recourant du 23 mars 2020 que la tenue de débats n'est plus exigée. Au demeurant, la loi ne la prévoit qu'à titre exceptionnel, la procédure écrite étant de règle (art. 397 al. 1 CPP). La Chambre de céans a d'ailleurs déjà eu l'occasion de juger que, lorsque le recourant a pu s'exprimer sans limitation, par écrit et en dernier lieu, une audience ne se justifie pas, dès lors que son droit d'être entendu a été ainsi respecté (ACPR/312/2011 du 2 novembre 2011 et ACPR/390/2011 du 21 décembre 2011). C'est d'autant plus vrai en l'espèce que le recourant a pleinement pu bénéficier du concours de son défenseur en instance de recours, quels qu'aient été les aléas involontaires de la procédure de première instance. Aussi la présente décision a-t-elle été adoptée par voie de circulation (art. 390 al. 4 CPP).</w:t>
      </w:r>
    </w:p>
    <w:p>
      <w:r>
        <w:rPr>
          <w:b/>
        </w:rPr>
        <w:t>E. 3</w:t>
      </w:r>
    </w:p>
    <w:p>
      <w:r>
        <w:t>Le recourant conteste le refus de sa demande de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w:t>
      </w:r>
    </w:p>
    <w:p>
      <w:r>
        <w:t>- 8/10 - PM/165/2020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l'appréciation du risque de récidive doit se fonder sur le constat que l'infraction dont le recourant purge la peine est de nature patrimoniale et a été commise sous une forme exempte de violence. Le recourant n'a aucun antécédent en Suisse. Il n'y a donc jamais non plus bénéficié de libération conditionnelle. S'il n'est pas contesté qu'il a été condamné à 24 reprises pour des infractions de même nature à l'étranger, sur une période de plus de 23 ans, dénotant par là un ancrage assez solide dans la délinquance, les détails de ces antécédents, notamment de modus operandi, de durée des condamnations, voire de libérations anticipées, ne sont pas au dossier. Dans ces circonstances, la situation familiale et professionnelle du recourant, qu'il qualifie dorénavant de stable et de confortable, paraît offrir une garantie acceptable. Par ailleurs, la prise de conscience de la faute n'est, peut-être, pas celle qu'ont vue les autorités précédentes. À l'audience du TAPEM, le recourant a essentiellement fustigé l'absence de la victime lors des débats par-devant le TCO, ainsi qu'un "prix" des biens confiés qu'elle aurait "gonflé". Or, au procès, il avait admis les faits reprochés; l'absence de la victime était avérée; et le tribunal n'a pas tenu pour établi que celle-ci, comme elle l'affirmait, eût en sus confié à celui-là des montres de marque (jugement du 31 octobre 2018, pp. 16-17).</w:t>
      </w:r>
    </w:p>
    <w:p>
      <w:r>
        <w:t>- 9/10 - PM/165/2020 Dans ces conditions limite, on peut encore estimer que le pronostic n'est pas défavorable, et que la libération conditionnelle du recourant peut être ordonnée. Comme le Ministère public l'a suggéré à titre subsidiaire, cet allègement prendra effet à la date du renvoi de Suisse de l'intéressé.</w:t>
      </w:r>
    </w:p>
    <w:p>
      <w:r>
        <w:rPr>
          <w:b/>
        </w:rPr>
        <w:t>E. 4</w:t>
      </w:r>
    </w:p>
    <w:p>
      <w:r>
        <w:t>Les frais seront laissés à la charge de l'État.</w:t>
      </w:r>
    </w:p>
    <w:p>
      <w:r>
        <w:rPr>
          <w:b/>
        </w:rPr>
        <w:t>E. 5</w:t>
      </w:r>
    </w:p>
    <w:p>
      <w:r>
        <w:t>Le recourant, qui a gain de cause, chiffre à CHF 2'400.- les 4 heures d'activité de son défenseur pour la procédure de recours. Le tarif revendiqué est toutefois supérieur à celui admis par la Cour pénale, qui est de CHF 450.-/h. au maximum pour un chef d'étude (cf. ACPR/109/2020 du 7 février 2020 et les références). Par ailleurs, l'acte de recours ne comporte aucune motivation juridique particulière, égrenant des considérations générales sur le droit d'être entendu et la pandémie de Covid-19. Une indemnisation arrêtée à CHF 1'800.- apparaît donc largement suffisante. La TVA n'est pas due, en raison du domicile à l'étranger du recourant (ATF 141 IV 344).</w:t>
      </w:r>
    </w:p>
    <w:p>
      <w:r>
        <w:t>* * * * *</w:t>
      </w:r>
    </w:p>
    <w:p>
      <w:r>
        <w:t>- 10/10 - PM/165/2020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