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ACPR/248/2026 vom 10. März 2026</w:t>
      </w:r>
    </w:p>
    <w:p>
      <w:r>
        <w:t>GE Cour de justice, 2026-03-10, FR</w:t>
      </w:r>
    </w:p>
    <w:p>
      <w:r>
        <w:rPr>
          <w:b/>
        </w:rPr>
        <w:t xml:space="preserve">Quelle: </w:t>
      </w:r>
      <w:r>
        <w:t>https://mcp.opencaselaw.ch/entscheid/ge_gerichte_ACPR_248_2026</w:t>
      </w:r>
    </w:p>
    <w:p>
      <w:r>
        <w:t>FR: GE_GERICHTE ACPR/248/2026 du 10 mars 2026</w:t>
      </w:r>
    </w:p>
    <w:p>
      <w:r>
        <w:t>IT: GE_GERICHTE ACPR/248/2026 del 10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- 8/14 - P/5738/2025</w:t>
      </w:r>
    </w:p>
    <w:p>
      <w:r>
        <w:rPr>
          <w:b/>
        </w:rPr>
        <w:t>E. 2</w:t>
      </w:r>
    </w:p>
    <w:p>
      <w:r>
        <w:t>Comme dans son précédent recours, le recourant fait grief au TMC de n'avoir pas motivé sa décision sinon par renvoi à ses ordonnance précédentes. Or, en tant que le TMC a, dans son ordonnance querellée, renvoyé à ses considérations précédentes en précisant qu'aucun élément n'était intervenu depuis lors dans la procédure justifiant une appréciation différente, le recourant ne saurait lui reprocher un défaut de motivation (ATF 114 Ia 281 consid. 4c; 103 Ia 407 consid. 3a; arrêts du Tribunal fédéral 1B_149/2010 du 1er juin 2010 consid. 1.3; 1B_22/2009 du 16 février 2009 consid. 2.1; ACPR/783/2024 consid. 2.2). Au demeurant, si le reproche devait être assimilé à un grief de violation du droit d'être entendu, déduit de l'art. 29 al. 2 Cst., il sera rappelé qu'une telle violation peut être réparée lorsque la partie lésée a la possibilité de s'exprimer devant une autorité de recours qui jouit d'un plein pouvoir d'examen. Tel étant le cas de la Chambre de céans (art. 391 al. 1 et 393 al. 2 CPP), le grief de violation de cette garantie formelle sera rejeté.</w:t>
      </w:r>
    </w:p>
    <w:p>
      <w:r>
        <w:rPr>
          <w:b/>
        </w:rPr>
        <w:t>E. 3</w:t>
      </w:r>
    </w:p>
    <w:p>
      <w:r>
        <w:t>Le recourant indique également, sans y consacrer de motivation spécifique, contester les faits qui lui sont reprochés. Toutefois, comme indiqué dans l'arrêt ACPR/53/2026 du 15 janvier 2026, les charges pesant sur le recourant, retenues de manière constante dans les ordonnances rendues à son sujet par le TMC depuis le 10 mars 2025, y compris dans l'ordonnance de mise en détention de sûreté du 13 novembre 2025, soit une fois l'acte d'accusation rédigé par le Ministère public, reposent sur les circonstances de l'interpellation des protagonistes et les lésions constatées, la mise en cause du recourant par le mineur G______ et par N______, ses propres explications ne permettant pas d'expliquer les lésions subies par G______, alors même qu'il admettait avoir donné ou tenté de donner des coups et alors qu'il s'était rendu, en bande, sur les lieux dans un contexte susceptible de dégénérer. On ne voit pas en quoi les charges se seraient amoindries depuis lors, y compris depuis l'ordonnance de mise en détention pour des motifs de sûreté du 13 novembre 2025. Le recourant ne l'expose au demeurant pas, se contentant de relever qu'il conteste les faits qui lui sont reprochés, que son ADN n'a été retrouvé sur aucune arme blanche et qu'un de ses coprévenus, N______, aurait indiqué le 26 mars 2025 qu'il n'avait pas eu d'armes en mains, soit trois éléments déjà présents au dossier lors des précédents prononcés. Il sera au demeurant relevé qu'au vu des lésions constatées sur les différentes victimes et des déclarations recueillies auprès des témoins, un certain nombre d'armes blanches n'ont certainement pas été retrouvées. Le grief sera, partant, rejeté.</w:t>
      </w:r>
    </w:p>
    <w:p>
      <w:r>
        <w:rPr>
          <w:b/>
        </w:rPr>
        <w:t>E. 4</w:t>
      </w:r>
    </w:p>
    <w:p>
      <w:r>
        <w:t>Le recourant conteste l'existence d'un risque de fuite concret qui ne pourrait, subsidiairement, être pallié par des mesures de substitution.</w:t>
      </w:r>
    </w:p>
    <w:p>
      <w:r>
        <w:t>- 9/14 - P/5738/2025</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saisie des documents d'identité et autres documents officiels (al. 2 let. b), l'obligation de se présenter régulièrement à un service administratif (al. 2 let. d), et l'interdiction d'entretenir des relations avec certaines personnes (al. 2 let. g). La liste des mesures de substitution énoncée à l'art. 237 CPP n'est pas exhaustive (arrêt du Tribunal fédéral 1B_654/2011 du 7 décembre 2011 consid. 4.2).</w:t>
      </w:r>
    </w:p>
    <w:p>
      <w:r>
        <w:rPr>
          <w:b/>
        </w:rPr>
        <w:t>E. 4.3</w:t>
      </w:r>
    </w:p>
    <w:p>
      <w:r>
        <w:t>En l'espèce, les différents arguments soulevés par le recourant ont déjà été examinés dans l'arrêt du 15 janvier 2026 (ACPR/53/2026) auquel il sera, partant, renvoyé.</w:t>
      </w:r>
    </w:p>
    <w:p>
      <w:r>
        <w:t>Seul le contrat de travail désormais produit constitue un élément nouveau. Or, s'il atteste effectivement d'une volonté d'intégration du recourant, il ne constitue pas une garantie suffisante pour renverser l'appréciation précédemment faite du risque de fuite, laquelle reposait en particulier sur la nationalité étrangère du recourant, qui ne dispose que de peu d'attaches avec la Suisse, et la peine menace et concrètement encourue si les faits qui lui sont reprochés devaient être retenus à son encontre. Dans ces conditions, l'existence d'un risque de fuite persiste nonobstant le contrat de travail désormais produit, lequel comporte un temps d'essai et est résiliable en tout temps moyennement respect des délais légaux et, partant, sera confirmée. Les mesures proposées par le recourant. qui ne diffèrent pas fondamentalement de celles proposées précédemment, ne permettraient pas de l’empêcher de franchir la frontière par voie terrestre pour se rendre à l'étranger, ou de disparaitre dans la clandestinité, ni aucune autre, mais tout au plus de constater sa fuite a posteriori (ATF 145 IV 503 consid. 3.3.1), ce que le premier juge a constaté à bon droit.</w:t>
      </w:r>
    </w:p>
    <w:p>
      <w:r>
        <w:rPr>
          <w:b/>
        </w:rPr>
        <w:t>E. 5</w:t>
      </w:r>
    </w:p>
    <w:p>
      <w:r>
        <w:t>Le recourant considère encore que le risque de collusion est fortement réduit du fait que l'instruction est close et qu'il peut en tout état être pallié par des mesures de substitution.</w:t>
      </w:r>
    </w:p>
    <w:p>
      <w:r>
        <w:t>- 10/14 - P/5738/2025</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En l'espèce, le recourant ne soutient pas que le risque de collusion aurait disparu, mais considère, à tort, qu'il serait fortement réduit du fait que l'instruction est désormais close. En effet, au vu de ses dénégations, il apparaît que le risque de collusion reste inchangé jusqu'à l'audience de jugement. Le recourant connaît un certain nombre des protagonistes des évènements survenus le 7 mars 2025, dont certains ont été remis en liberté ou n'ont pas été localisés. Le recourant pourrait ainsi être tenté d'entrer en contact avec eux, alors qu'il importe qu'il ne puisse, jusqu'à l'audience de jugement, interférer avec la manifestation de la vérité. Avec le TMC, il faut également retenir qu'aucune mesure ne semble propre à pallier ce risque. En particulier, une interdiction d'entrer en contact avec les personnes concernées par la présente procédure est insuffisante au regard de la nature du risque de collusion constaté. Une telle mesure paraît en outre particulièrement difficile à contrôler, compte tenu du nombre des personnes potentiellement concernées, et ne permet pas, en l'état, de pallier le risque d'atteinte à la recherche de la vérité. C'est donc à juste titre que le TMC a retenu l'existence d'un risque de collusion.</w:t>
      </w:r>
    </w:p>
    <w:p>
      <w:r>
        <w:rPr>
          <w:b/>
        </w:rPr>
        <w:t>E. 6</w:t>
      </w:r>
    </w:p>
    <w:p>
      <w:r>
        <w:t>L'admission des risques de fuite et de collusion, indiscutables, dispense l'autorité de recours d'examiner si s'y ajoute un risque – alternatif – de récidive (arrêts du Tribunal fédéral 7B_144/2025 du 24 mars 2025 consid. 3.3; 7B_188/2024 du 12 mars 2024 consid. 6.3.1 et 1B_197/2023 du 4 mai 2023 consid. 4.5).</w:t>
      </w:r>
    </w:p>
    <w:p>
      <w:r>
        <w:t>- 11/14 - P/5738/2025</w:t>
      </w:r>
    </w:p>
    <w:p>
      <w:r>
        <w:rPr>
          <w:b/>
        </w:rPr>
        <w:t>E. 7</w:t>
      </w:r>
    </w:p>
    <w:p>
      <w:r>
        <w:t>Le recourant invoque à nouveau une violation du principe de l'égalité de traitement, invoquant, nouvellement, l'existence d'une procédure ouverte contre J______ pour agression, laquelle découle en effet de l'extrait du casier judiciaire de l'intéressé. Il sera cependant renvoyé au raisonnement tenu par la Chambre de céans dans son arrêt du 15 janvier dernier, qui reste applicable. En effet, un justiciable ne peut généralement pas se prétendre victime d'une inégalité devant la loi lorsque celle-ci est correctement appliquée à son cas, alors qu'elle aurait été faussement, voire pas appliquée du tout, dans d'autres cas (arrêts du Tribunal fédéral 7B_1009/2023 du 6 février 2024 consid. 6.4; 7B_882/2025 du 10 octobre 2025 consid. 2.4.3. in fine; ACPR/604/2025 consid. 6). Ainsi, le recourant ne peut se prévaloir de la mise ne liberté de son coprévenu, dès lors qu'il ne remplit pas les conditions pour bénéficier de mesures de substitution en raison des risques de fuite et de collusion retenu à son encontre (cf supra consid. 3.2 et 5.3).</w:t>
      </w:r>
    </w:p>
    <w:p>
      <w:r>
        <w:rPr>
          <w:b/>
        </w:rPr>
        <w:t>E. 8</w:t>
      </w:r>
    </w:p>
    <w:p>
      <w:r>
        <w:t>Le recourant réitère enfin son grief de violation du principe de la proportionnalité (art. 197 al. 1 et 212 al. 3 CPP), alors même que la durée prévisible de la détention pour des motifs de sureté était déjà connue et a déjà été examinée dans l'arrêt ACPR/53/2026 auquel il pourra être renvoyé, aucun élément nouveau n'étant depuis lors survenu, étant rappelé que la seule infraction de rixe est passible d'une peine privative de liberté de trois ans.</w:t>
      </w:r>
    </w:p>
    <w:p>
      <w:r>
        <w:rPr>
          <w:b/>
        </w:rPr>
        <w:t>E. 9</w:t>
      </w:r>
    </w:p>
    <w:p>
      <w:r>
        <w:t>Le recours s'avère ainsi infondé et doit être rejeté.</w:t>
      </w:r>
    </w:p>
    <w:p>
      <w:r>
        <w:rPr>
          <w:b/>
        </w:rPr>
        <w:t>E. 10</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11</w:t>
      </w:r>
    </w:p>
    <w:p>
      <w:r>
        <w:t>Le recourant plaide au bénéfice d'une défense d'office.</w:t>
      </w:r>
    </w:p>
    <w:p>
      <w:r>
        <w:rPr>
          <w:b/>
        </w:rPr>
        <w:t>E. 11.1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t>- 12/14 - P/5738/2025</w:t>
      </w:r>
    </w:p>
    <w:p>
      <w:r>
        <w:rPr>
          <w:b/>
        </w:rPr>
        <w:t>E. 11.2</w:t>
      </w:r>
    </w:p>
    <w:p>
      <w:r>
        <w:t>En l'occurrence, quand bien même le recourant succombe et que l'essentiel de ses arguments ont déjà été rejetés par arrêt du 15 janvier 2026, on peut encore admettre que l'exercice du présent recours ne procède pas d'un abus. L'indemnité du défenseur d'office sera fixée à la fin de la procédure (art. 135 al. 2 CPP). * * * * *</w:t>
      </w:r>
    </w:p>
    <w:p>
      <w:r>
        <w:t>- 13/14 - P/5738/2025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