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ACPR/248/2025 vom 11. Februar 2025</w:t>
      </w:r>
    </w:p>
    <w:p>
      <w:r>
        <w:t>GE Cour de justice, 2025-02-11, FR</w:t>
      </w:r>
    </w:p>
    <w:p>
      <w:r>
        <w:rPr>
          <w:b/>
        </w:rPr>
        <w:t xml:space="preserve">Quelle: </w:t>
      </w:r>
      <w:r>
        <w:t>https://mcp.opencaselaw.ch/entscheid/ge_gerichte_ACPR_248_2025</w:t>
      </w:r>
    </w:p>
    <w:p>
      <w:r>
        <w:t>FR: GE_GERICHTE ACPR/248/2025 du 11 février 2025</w:t>
      </w:r>
    </w:p>
    <w:p>
      <w:r>
        <w:t>IT: GE_GERICHTE ACPR/248/2025 del 11 febbraio 2025</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selon la forme – restant toutefois réservé le pouvoir de signature de J______ pour la société B______ S.A.G.L. – et dans le délai prescrits (art. 385 al. 1 et 396 al. 1 CPP), et concerne une ordonnance sujette à recours auprès de la Chambre de céans (art. 393 al. 1 let. b CPP).</w:t>
      </w:r>
    </w:p>
    <w:p>
      <w:r>
        <w:rPr>
          <w:b/>
        </w:rPr>
        <w:t>E. 2.2</w:t>
      </w:r>
    </w:p>
    <w:p>
      <w:r>
        <w:t>Il n'émane toutefois pas de la société anonyme qui estime être lésée par les agissements déconcés (art. 118 al. 1 CPP) – laquelle, seule, peut être partie plaignante à la procédure (art 104 al. 1 let. b et 382 CPP) – mais d'une société spécialisée dans les investigations, soit un tiers non autorisé. En effet, la recourante ne peut pas agir par une société, dès lors qu'à Genève, en matière pénale, seul un avocat est autorisé à assister – et donc représenter – une partie en justice (art. 127 al. 5 CPP cum art. 18 LaCP). Il s'ensuit que le recours est irrecevable.</w:t>
      </w:r>
    </w:p>
    <w:p>
      <w:r>
        <w:rPr>
          <w:b/>
        </w:rPr>
        <w:t>E. 3</w:t>
      </w:r>
    </w:p>
    <w:p>
      <w:r>
        <w:t>La recourante, qui succombe, supportera les frais envers l'État, fixés en totalité à CHF 300.-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