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ACPR/247/2020 vom 20. November 2019</w:t>
      </w:r>
    </w:p>
    <w:p>
      <w:r>
        <w:t>GE Cour de justice, 2019-11-20, FR</w:t>
      </w:r>
    </w:p>
    <w:p>
      <w:r>
        <w:rPr>
          <w:b/>
        </w:rPr>
        <w:t xml:space="preserve">Quelle: </w:t>
      </w:r>
      <w:r>
        <w:t>https://mcp.opencaselaw.ch/entscheid/ge_gerichte_ACPR_247_2020</w:t>
      </w:r>
    </w:p>
    <w:p>
      <w:r>
        <w:t>FR: GE_GERICHTE ACPR/247/2020 du 20 novembre 2019</w:t>
      </w:r>
    </w:p>
    <w:p>
      <w:r>
        <w:t>IT: GE_GERICHTE ACPR/247/2020 del 20 novembre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le Ministère public ayant omis de statuer sur l'indemnité de la prévenu dans sa décision (ATF 144 IV 207 consid. 1.7) –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souhaite être indemnisée pour ses frais de défense dans la procédure de première instance.</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Une ordonnance de non-entrée en matière ouvre le droit du prévenu à l'indemnisation (L. MOREILLON / A. PAREIN-REYMOND, Petit commentaire CPP, Bâle 2016, n. 9 ad. art. 429). Elle couvre, en particulier, les honoraires de ce conseil, à condition que le recours à celui-ci procède d'un exercice raisonnable des droits de procédure. L'État ne prend en charge les frais de défense que si l'assistance d'un avocat était nécessaire compte tenu</w:t>
      </w:r>
    </w:p>
    <w:p>
      <w:r>
        <w:t>- 5/7 - P/11058/2019 de la complexité de l'affaire en fait ou en droit et que le volume de travail et donc les honoraires étaient ainsi justifiés (Message du 21 décembre 2005 relatif à l'unification du droit de la procédure pénale, FF 2006 1313 ch. 2.10.3.1).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(L. MOREILLON / A. PAREIN-REYMOND, op. cit., n. 11 ad. art. 429).</w:t>
      </w:r>
    </w:p>
    <w:p>
      <w:r>
        <w:rPr>
          <w:b/>
        </w:rPr>
        <w:t>E. 2.2</w:t>
      </w:r>
    </w:p>
    <w:p>
      <w:r>
        <w:t>La question de l'indemnisation (art. 429 CPP) doit être tranchée après celle des frais (art. 426 CPP). Dans cette mesure, la décision sur ceux-ci préjuge du sort de celle-là.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w:t>
      </w:r>
    </w:p>
    <w:p>
      <w:r>
        <w:rPr>
          <w:b/>
        </w:rPr>
        <w:t>E. 2.3</w:t>
      </w:r>
    </w:p>
    <w:p>
      <w:r>
        <w:t>Le fait que l'employeur du prévenu couvre ses frais de défense n'empêche pas l'octroi d'une indemnité pour les dépenses occasionnées par l'exercice raisonnable de ses droits de procédure (arrêt du Tribunal fédéral 6B_695/2017 du 26 avril 2018, consid. 3.3.2.).</w:t>
      </w:r>
    </w:p>
    <w:p>
      <w:r>
        <w:rPr>
          <w:b/>
        </w:rPr>
        <w:t>E. 2.4</w:t>
      </w:r>
    </w:p>
    <w:p>
      <w:r>
        <w:t>En l'espèce, une ordonnance de non-entrée en matière a été rendue et les frais de la procédure pénale ont été mis à la charge de l'État, de sorte que le droit à une indemnisation de la prévenue est ouvert. Conformément à la jurisprudence du Tribunal fédéral rappelée ci-dessus, le fait que l'employeur de la recourante ait pris en charge ses frais de défense n'empêche pas l'indemnisation de celle-ci. Au vu de sa profession et des faits graves qui lui étaient reprochés, à savoir d'avoir causé des lésions corporelles à un enfant séjournant dans le foyer où elle travaillait et qui était sous sa garde, la prévenue était légitimée à se faire assister d'un avocat, la procédure pénale pouvant avoir des effets importants sur sa vie professionnelle. Et ce, même si la procédure n'était, en soi, pas complexe. Une indemnité pour ses dépenses au sens de l'art. 429 al. 1 let. a CPP doit dès lors lui être accordée. La recourante ayant limité sa prétention à l'assistance de son conseil lors de l'audition par la police, elle sera indemnisée à hauteur du montant réclamé, à savoir CHF 1'090.46 TTC, les honoraires facturés apparaissant parfaitement proportionnés et respectant le tarif appliqué par la Chambre de céans (cf. notamment</w:t>
      </w:r>
    </w:p>
    <w:p>
      <w:r>
        <w:t>- 6/7 - P/11058/2019 ACPR/617/2019 du 14 août 2019 et ACPR/279/2014 du 27 mai 2014). L'indemnité allouée sera mise à la charge de l'État.</w:t>
      </w:r>
    </w:p>
    <w:p>
      <w:r>
        <w:rPr>
          <w:b/>
        </w:rPr>
        <w:t>E. 3</w:t>
      </w:r>
    </w:p>
    <w:p>
      <w:r>
        <w:t>La recourante souhaite également être indemnisée à hauteur de CHF 700.- TTC pour la procédure de recours.</w:t>
      </w:r>
    </w:p>
    <w:p>
      <w:r>
        <w:rPr>
          <w:b/>
        </w:rPr>
        <w:t>E. 3.1</w:t>
      </w:r>
    </w:p>
    <w:p>
      <w:r>
        <w:t>En vertu de l'art. 436 al. 1 CPP, les prétentions en indemnité dans les procédures de recours sont régies par les art. 429 à 434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arrêt du Tribunal fédéral 6B_1360/2016 du 10 novembre 2017 consid. 3.2).</w:t>
      </w:r>
    </w:p>
    <w:p>
      <w:r>
        <w:rPr>
          <w:b/>
        </w:rPr>
        <w:t>E. 3.2</w:t>
      </w:r>
    </w:p>
    <w:p>
      <w:r>
        <w:t>En l'espèce, la recourante a obtenu gain de cause dans la présente procédure de recours, de sorte qu'une indemité doit lui être accordée. La "liste des prestations" fournie à l'appui du recours mentionne des honoraires de CHF 646.20, TVA comprise, et non hors taxe comme mentionné dans le recours. Ce montant sera cependant tout de même arrondi à CHF 700.- TTC, comme réclamé par la recourante, pour tenir compte de la rédaction de la réplique. Cette indemnité sera également mise à la charge de l'État.</w:t>
      </w:r>
    </w:p>
    <w:p>
      <w:r>
        <w:rPr>
          <w:b/>
        </w:rPr>
        <w:t>E. 4</w:t>
      </w:r>
    </w:p>
    <w:p>
      <w:r>
        <w:t>L'admission du recours ne donne pas lieu à la perception de frais (art. 428 al. 1 CPP). * * * * *</w:t>
      </w:r>
    </w:p>
    <w:p>
      <w:r>
        <w:t>- 7/7 - P/11058/2019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