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ACPR/246/2020 vom 12. Dezember 2019</w:t>
      </w:r>
    </w:p>
    <w:p>
      <w:r>
        <w:t>GE Cour de justice, 2019-12-12, FR</w:t>
      </w:r>
    </w:p>
    <w:p>
      <w:r>
        <w:rPr>
          <w:b/>
        </w:rPr>
        <w:t xml:space="preserve">Quelle: </w:t>
      </w:r>
      <w:r>
        <w:t>https://mcp.opencaselaw.ch/entscheid/ge_gerichte_ACPR_246_2020</w:t>
      </w:r>
    </w:p>
    <w:p>
      <w:r>
        <w:t>FR: GE_GERICHTE ACPR/246/2020 du 12 décembre 2019</w:t>
      </w:r>
    </w:p>
    <w:p>
      <w:r>
        <w:t>IT: GE_GERICHTE ACPR/246/2020 del 12 dicembre 2019</w:t>
      </w:r>
    </w:p>
    <w:p>
      <w:pPr>
        <w:pStyle w:val="Heading2"/>
      </w:pPr>
      <w:r>
        <w:t>Erwägungen</w:t>
      </w:r>
    </w:p>
    <w:p>
      <w:r>
        <w:rPr>
          <w:b/>
        </w:rPr>
        <w:t>E. 1</w:t>
      </w:r>
    </w:p>
    <w:p>
      <w:r>
        <w:t>Le recours est recevable pour avoir été déposé selon la forme et dans le délai prescrits – compte tenu de la notification par pli simple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- 5/10 - P/9436/2019</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 DCPR/104/2011 du 11 mai 2011).</w:t>
      </w:r>
    </w:p>
    <w:p>
      <w:r>
        <w:rPr>
          <w:b/>
        </w:rPr>
        <w:t>E. 3.2</w:t>
      </w:r>
    </w:p>
    <w:p>
      <w:r>
        <w:t>Aux termes de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Le bien juridique protégé par cette disposition est le développement physique et psychique du mineur, soit d'une personne âgée de moins de 18 ans (ATF 126 IV 136 consid. 1b p. 138). Vu l'imprécision de la disposition, la doctrine recommande de l'interpréter de manière restrictive et d'en limiter l'application aux cas manifestes (M. SCHUBARTH, Kommentar zum schweizerischen Strafrecht, Besonderer Teil, Delikte gegen die sexuelle Integrität und gegen die Familie, vol. 4, Berne 1997, n. 10 ad art. 219 CP, p. 208; M. NIGGLI / H. WIPRÄCHTIGER, Basler Kommentar Strafrecht II : Art. 111-392 StGB, 2e éd., Bâle 2007, n. 10 ad art. 219 CP). L'art. 219 CP ne doit ainsi pas être retenu dans tous les cas d'atteinte à l'intégrité corporelle, à la</w:t>
      </w:r>
    </w:p>
    <w:p>
      <w:r>
        <w:t>- 6/10 - P/9436/2019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d'éducation (ATF 125 IV 64 consid. 1d). Il n'est cependant pas exclu qu'un seul acte grave suffise pour que des séquelles durables risquent d'affecter le développement du mineur (M. DUPUIS / L. MOREILLON / C. PIGUET / S. BERGER / M. MAZOU / V. RODIGARI, Code pénal - Petit commentaire, Bâle 2017, n. 16 ad art. 219).</w:t>
      </w:r>
    </w:p>
    <w:p>
      <w:r>
        <w:rPr>
          <w:b/>
        </w:rPr>
        <w:t>E. 3.3</w:t>
      </w:r>
    </w:p>
    <w:p>
      <w:r>
        <w:t>L'art. 125 al. 1 CP punit, sur plainte, celui qui, par négligence, fait subir à une personne une atteinte à l'intégrité corporelle ou à la santé. Si la lésion est grave l'auteur est poursuivi d'office (al. 2). Cette disposition suppose la réalisation de trois conditions : une négligence, une atteinte à l'intégrité physique et un lien de causalité naturelle et adéquate entre ces deux éléments.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 ATF 141 IV 249 consid. 1.1 p. 251 s.; 134 IV 255 consid. 4.2.1 p. 259 s. et les références citées).</w:t>
      </w:r>
    </w:p>
    <w:p>
      <w:r>
        <w:rPr>
          <w:b/>
        </w:rPr>
        <w:t>E. 3.4</w:t>
      </w:r>
    </w:p>
    <w:p>
      <w:r>
        <w:t>En l’espèce, les lésions présentées au genou par A______ et ses crises d'angoisse, ainsi que la souffrance ressentie par elle, réactives à l’événement du 14 février 2019, sont établies. Toutefois, il paraît douteux que l’acte dénoncé remplisse, s’agissant d’un événement unique, la condition de la gravité requise par l’art. 219 CP. Il paraît également peu vraisemblable que la causalité naturelle et adéquate de l’art. 125 CP, entre le défaut de surveillance reproché aux mises en cause et les lésions corporelles subies soit remplie, vu la soudaineté et la brièveté de l’acte. Cela étant, quelle que soit l’infraction envisagée, il n’existe pas d’éléments suffisants pour justifier l’ouverture d’une instruction. Aucun des enfants entendus par la directrice de l’école n’a mis en cause les institutrices chargées de la surveillance du préau lors de la récréation du 14 février 2019. Ces dernières ont, quant à elles, déclaré, pour l’une, n’avoir rien vu ni avoir été sollicitée par les enfants pour une bagarre, et, pour l’autre, avoir croisé le neveu de la plaignante et lui avoir demandé ce qu’il se passait. La plaignante allègue avoir recueilli des déclarations contraires</w:t>
      </w:r>
    </w:p>
    <w:p>
      <w:r>
        <w:t>- 7/10 - P/9436/2019 des enfants concernés, notamment son neveu, qui lui auraient par la suite dit avoir menti à la directrice par peur de celle-ci et des institutrices. Dans ce contexte, une enquête pénale n’apporterait rien de plus. On ne voit pas que les enfants, vu leur jeune âge, modifieraient leurs déclarations – si tant est qu’il y ait quelque chose à modifier – lors d’une audition par des inspecteurs de la police. Les institutrices non plus. La recourante ne propose pas d’autre(s) acte(s) d’instruction et aucun ne paraît être de nature à apporter des éléments concrets. Partant, l’appréciation du Ministère public ne prête pas le flanc à la critique et il pouvait refuser d'entrer en matière sur les faits dénoncés.</w:t>
      </w:r>
    </w:p>
    <w:p>
      <w:r>
        <w:rPr>
          <w:b/>
        </w:rPr>
        <w:t>E. 4</w:t>
      </w:r>
    </w:p>
    <w:p>
      <w:r>
        <w:t>Justifiée, l'ordonnance querellée sera donc confirmée.</w:t>
      </w:r>
    </w:p>
    <w:p>
      <w:r>
        <w:rPr>
          <w:b/>
        </w:rPr>
        <w:t>E. 5</w:t>
      </w:r>
    </w:p>
    <w:p>
      <w:r>
        <w:t>La recourante semble recourir contre le refus d'assistance juridique contenu dans l'ordonnance querellée et demande l'assistance judiciaire pour le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la désignation d'un conseil juridique gratuit, lorsque la défense des intérêts de la partie plaignante l'exige (art. 136 al. 2 let. b CPP). Le législateur fédéral a sciemment limité l'octroi de l'assistance judiciaire aux cas où le plaignant peut faire valoir des prétentions civiles (cf. Message du Conseil fédéral du 21 décembre 2005 relatif à l'unification du droit de la procédure pénale, FF 2006 p. 1160; arrêt 6B_122/2013 du 11 juillet 2013 consid. 4.1).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et sur la base d'un examen sommaire (ATF 138 III 217 consid. 2.2.4 p. 218).</w:t>
      </w:r>
    </w:p>
    <w:p>
      <w:r>
        <w:rPr>
          <w:b/>
        </w:rPr>
        <w:t>E. 5.2</w:t>
      </w:r>
    </w:p>
    <w:p>
      <w:r>
        <w:t>En l'espèce, indépendamment de savoir si la recourante remplit les conditions de l'indigence, l'action civile était vouée à l'échec, de sorte qu'elle n’a à bon droit pas été mise au bénéfice de l’assistance judiciaire, ni d'un conseil juridique gratuit. Elle ne le sera pas davantage pour la procédure de recours, pour les mêmes raisons.</w:t>
      </w:r>
    </w:p>
    <w:p>
      <w:r>
        <w:rPr>
          <w:b/>
        </w:rPr>
        <w:t>E. 6</w:t>
      </w:r>
    </w:p>
    <w:p>
      <w:r>
        <w:t>En tant qu’elle succombe, la recourante supportera les frais envers l'État, qui seront fixés en totalité à CHF 600.- (art. 428 al. 1 CPP et 13 al. 1 du Règlement fixant le tarif des frais en matière pénale, RTFMP ; E 4 10.03), étant précisé que la décision sur le refus d’assistance juridique gratuite est, elle, rendue sans frais (art. 20 RAJ).</w:t>
      </w:r>
    </w:p>
    <w:p>
      <w:r>
        <w:t>- 8/10 - P/9436/2019 * * * * *</w:t>
      </w:r>
    </w:p>
    <w:p>
      <w:r>
        <w:t>- 9/10 - P/9436/2019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