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ACPR/245/2026 vom 10. März 2026</w:t>
      </w:r>
    </w:p>
    <w:p>
      <w:r>
        <w:t>GE Cour de justice, 2026-03-10, FR</w:t>
      </w:r>
    </w:p>
    <w:p>
      <w:r>
        <w:rPr>
          <w:b/>
        </w:rPr>
        <w:t xml:space="preserve">Quelle: </w:t>
      </w:r>
      <w:r>
        <w:t>https://mcp.opencaselaw.ch/entscheid/ge_gerichte_ACPR_245_2026</w:t>
      </w:r>
    </w:p>
    <w:p>
      <w:r>
        <w:t>FR: GE_GERICHTE ACPR/245/2026 du 10 mars 2026</w:t>
      </w:r>
    </w:p>
    <w:p>
      <w:r>
        <w:t>IT: GE_GERICHTE ACPR/245/2026 del 10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contrevenant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SdC de ne pas lui avoir restitué le délai d'opposition.</w:t>
      </w:r>
    </w:p>
    <w:p>
      <w:r>
        <w:rPr>
          <w:b/>
        </w:rPr>
        <w:t>E. 3.1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w:t>
      </w:r>
    </w:p>
    <w:p>
      <w:r>
        <w:rPr>
          <w:b/>
        </w:rPr>
        <w:t>E. 3.2</w:t>
      </w:r>
    </w:p>
    <w:p>
      <w:r>
        <w:t>La demande de restitution du délai doit être présentée dans les 30 jours qui suivent la fin de l'empêchement allégué (art. 94 al. 2 CPP).</w:t>
      </w:r>
    </w:p>
    <w:p>
      <w:r>
        <w:rPr>
          <w:b/>
        </w:rPr>
        <w:t>E. 3.3</w:t>
      </w:r>
    </w:p>
    <w:p>
      <w:r>
        <w:t>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6B_158/2012 du 27 juillet 2012 consid. 3.2 et les références citées). Elle ne doit être accordée qu'en cas d'absence claire de faute. Il est ainsi exigé qu'il ait été absolument impossible à la personne concernée de respecter le délai ou de charger un tiers de faire le nécessaire (arrêt du Tribunal fédéral 6B_125/2011 du 7 juillet 2011 consid. 1). En d'autres termes, il faut comprendre, par empêchement non fautif, toute circonstance qui aurait empêché une partie consciencieuse d'agir dans le délai fixé (ACPR/196/2014 du 8 avril 2014). Il s'agit non seulement de l’impossibilité objective, comme la force majeure, mais également de l’impossibilité subjective due à des circonstances personnelles ou à l’erreur due au comportement d'une autorité (Y. JEANNERET/ A. KUHN/ C. PERRIER DEPEURSINGE (éds), Commentaire romand : Code de procédure pénale suisse, 2ème éd., Bâle 2019, n. 10 ad art. 94 CPP; ATF 96 II 262 consid. 1a).</w:t>
      </w:r>
    </w:p>
    <w:p>
      <w:r>
        <w:t>- 4/6 - PS/11/2026</w:t>
      </w:r>
    </w:p>
    <w:p>
      <w:r>
        <w:rPr>
          <w:b/>
        </w:rPr>
        <w:t>E. 3.4</w:t>
      </w:r>
    </w:p>
    <w:p>
      <w:r>
        <w:t>En l'espèce, il est constant – et non contesté – que le recourant a formé opposition après l'échéance du délai légal. La question du respect du délai de 30 jours prévu par l'art. 94 CPP pour le dépôt de la requête en restitution de délai pourra rester ouverte, dite requête devant être rejetée pour les raisons qui suivent. Le recourant explique la tardiveté de son opposition par le fait qu'il n'avait pas reçu à temps "les courriers initiaux" concernant la contravention. Un tel motif, nullement étayé, n’est pas propre à fonder un empêchement non fautif. En effet, le recourant n’explique pas dans quelles circonstances et pour quelles raisons il n’aurait pas reçu "à temps" l’ordonnance pénale N°1______, laquelle lui a été notifiée, selon le suivi de La Poste, le 20 août 2025. Il ne fournit non plus aucune explication sur un possible "problème d’adressage" ni ne soutient que l’adresse de notification de dite ordonnance pénale n’aurait alors pas été la sienne. Le recourant n'invoque ainsi aucun empêchement non fautif qui l’aurait, conformément aux principes juridiques et jurisprudentiels sus-rappelés, privé, en raison d'un événement l'ayant objectivement ou subjectivement mis dans l'impossibilité d'agir par lui-même ou par l'intermédiaire d'une tierce personne, de former opposition dans le délai légal. Il ne saurait dès lors y avoir place pour une quelconque restitution de délai, étant souligné qu'une application stricte des règles de procédure, notamment en matière de délais, s'impose pour des raisons d'égalité de droit et ne relève pas d'un formalisme excessif (ATF 149 IV 196 consid. 1.1; 149 IV 97 consid. 2.1).</w:t>
      </w:r>
    </w:p>
    <w:p>
      <w:r>
        <w:rPr>
          <w:b/>
        </w:rPr>
        <w:t>E. 4</w:t>
      </w:r>
    </w:p>
    <w:p>
      <w:r>
        <w:t>Justifiée, l'ordonnance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 * * * * *</w:t>
      </w:r>
    </w:p>
    <w:p>
      <w:r>
        <w:t>- 5/6 - PS/11/2026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