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ACPR/244/2021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https://mcp.opencaselaw.ch/entscheid/ge_gerichte_ACPR_244_2021</w:t>
      </w:r>
    </w:p>
    <w:p>
      <w:r>
        <w:t>FR: GE_GERICHTE ACPR/244/2021 du 8 février 2021</w:t>
      </w:r>
    </w:p>
    <w:p>
      <w:r>
        <w:t>IT: GE_GERICHTE ACPR/244/2021 del 8 febbraio 2021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2013; ACPR/207/2013 du 10 mai 2013); - les prétentions en indemnité dans la procédure de recours sont régies par les art. 429 à 434 CPP (art. 436 al. 1 CPP); - en l'espèce, le recourant, prévenu, n'a pas succombé, de sorte qu'il peut prétendre à une indemnité pour l'activité déployée par son conseil, qu'il a chiffrée à CHF 1'200, plus TVA de 7.7%, correspondant à 3 heures d'activités à un tarif horaire de CHF 400.-; - cette indemnisation paraît raisonnable et sera accordée.</w:t>
      </w:r>
    </w:p>
    <w:p>
      <w:r>
        <w:t>* * * * *</w:t>
      </w:r>
    </w:p>
    <w:p>
      <w:r>
        <w:t>- 3/3 - ______________________________________________________________________________________ P/2783/2021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