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ACPR/243/2019 vom 6. März 2019</w:t>
      </w:r>
    </w:p>
    <w:p>
      <w:r>
        <w:t>GE Cour de justice, 2019-03-06, FR</w:t>
      </w:r>
    </w:p>
    <w:p>
      <w:r>
        <w:rPr>
          <w:b/>
        </w:rPr>
        <w:t xml:space="preserve">Quelle: </w:t>
      </w:r>
      <w:r>
        <w:t>https://mcp.opencaselaw.ch/entscheid/ge_gerichte_ACPR_243_2019</w:t>
      </w:r>
    </w:p>
    <w:p>
      <w:r>
        <w:t>FR: GE_GERICHTE ACPR/243/2019 du 6 mars 2019</w:t>
      </w:r>
    </w:p>
    <w:p>
      <w:r>
        <w:t>IT: GE_GERICHTE ACPR/243/2019 del 6 marzo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En l'espèce, l'acte transmis par le TAPEM à la Chambre de céans doit être considéré comme un recours, étant au surplus relevé qu'il fait expressément mention de l'art. 393 al. 2 CPP. L'acte est recevable, pour avoir été déposé selon la forme (art. 384 let. b, 385 al. 1, 390 al. 1 et 396 al. 1 CPP) et dans le délai (art. 396 al. 1 CPP) prescrits, par le condamné, qui a un intérêt juridiquement protégé à l'annulation ou à la modification de la décision attaquée (art. 382 al. 1 CPP).</w:t>
      </w:r>
    </w:p>
    <w:p>
      <w:r>
        <w:rPr>
          <w:b/>
        </w:rPr>
        <w:t>E. 1.3</w:t>
      </w:r>
    </w:p>
    <w:p>
      <w:r>
        <w:t>Le recours n'est en revanche pas motivé (art. 385 al. 1 CPP). On peut toutefois retenir implicitement, sans qu'il soit nécessaire d'interpeler le recourant à cet égard (art. 385 al. 2 CPP), que le précité – qui agit en personne contre un refus de libération conditionnelle – conteste les éléments retenus par l'autorité précédente et conclut à l'octroi d'une libération conditionnelle.</w:t>
      </w:r>
    </w:p>
    <w:p>
      <w:r>
        <w:rPr>
          <w:b/>
        </w:rPr>
        <w:t>E. 2</w:t>
      </w:r>
    </w:p>
    <w:p>
      <w:r>
        <w:t>La Chambre pénale de recours peut décider d'emblée de traiter sans échange d'écritures ni débats les recours manifestement mal fondés (art. 390 al. 2 et 5 a contrario CPP), comme c'est le cas en l'occurrence, au vu des considérations qui suivent.</w:t>
      </w:r>
    </w:p>
    <w:p>
      <w:r>
        <w:t>- 5/8 - PM/340/2019</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w:t>
      </w:r>
    </w:p>
    <w:p>
      <w:r>
        <w:rPr>
          <w:b/>
        </w:rPr>
        <w:t>E. 3.2</w:t>
      </w:r>
    </w:p>
    <w:p>
      <w:r>
        <w:t>En l'espèce, la condition objective d'une libération conditionnelle est, certes, réalisée depuis le 10 mars 2019. Le recourant ne bénéficie cependant pas de préavis positifs, hormis celui de l'établissement d'exécution. Il a déjà été condamné à 15 reprises depuis septembre 2012, principalement pour des infractions contre le patrimoine et au droit des étrangers. Ce tableau, avec l'échec d'une précédente libération conditionnelle, rend le risque de réitération important. Il l'est d'autant plus que les projets d'avenir du recourant sont inconsistants. La personne qu'il désigne comme pouvant l'héberger à sa sortie de prison n'a pas confirmé qu'elle serait disposée à le faire et la situation administrative du recourant – absence de documents d'identité, interdiction d'entrée et décision de renvoi exécutoire – rend impossible tout travail rémunéré, ce dont il est conscient puisqu'il allègue vouloir s'occuper à titre bénévole. Il résulte ainsi de l'appréciation d'ensemble que le risque de récidive est trop élevé pour donner suite à la requête du recourant, ce que le premier juge a parfaitement évalué.</w:t>
      </w:r>
    </w:p>
    <w:p>
      <w:r>
        <w:t>- 6/8 - PM/340/2019</w:t>
      </w:r>
    </w:p>
    <w:p>
      <w:r>
        <w:rPr>
          <w:b/>
        </w:rPr>
        <w:t>E. 4</w:t>
      </w:r>
    </w:p>
    <w:p>
      <w:r>
        <w:t>Justifié, le jugement querellé sera donc confirmé.</w:t>
      </w:r>
    </w:p>
    <w:p>
      <w:r>
        <w:rPr>
          <w:b/>
        </w:rPr>
        <w:t>E. 5</w:t>
      </w:r>
    </w:p>
    <w:p>
      <w:r>
        <w:t>Le recourant, qui succombe, supportera les frais envers l'État, qui comprendront un émolument de CHF 600.- (art. 428 al. 1 CPP et 13 al. 1 du Règlement fixant le tarif des frais en matière pénale, RTFMP; E 4 10.03). * * * * *</w:t>
      </w:r>
    </w:p>
    <w:p>
      <w:r>
        <w:t>- 7/8 - PM/340/2019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