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ACPR/242/2022 vom 17. Dezember 2021</w:t>
      </w:r>
    </w:p>
    <w:p>
      <w:r>
        <w:t>GE Cour de justice, 2021-12-17, FR</w:t>
      </w:r>
    </w:p>
    <w:p>
      <w:r>
        <w:rPr>
          <w:b/>
        </w:rPr>
        <w:t xml:space="preserve">Quelle: </w:t>
      </w:r>
      <w:r>
        <w:t>https://mcp.opencaselaw.ch/entscheid/ge_gerichte_ACPR_242_2022</w:t>
      </w:r>
    </w:p>
    <w:p>
      <w:r>
        <w:t>FR: GE_GERICHTE ACPR/242/2022 du 17 décembre 2021</w:t>
      </w:r>
    </w:p>
    <w:p>
      <w:r>
        <w:t>IT: GE_GERICHTE ACPR/242/2022 del 17 dicembre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a CPP), a qualité pour agir, ayant un intérêt juridiquement protégé à la modification ou à l'annulation de la décision querellée (art. 382 al. 1 CPP).</w:t>
      </w:r>
    </w:p>
    <w:p>
      <w:r>
        <w:rPr>
          <w:b/>
        </w:rPr>
        <w:t>E. 2</w:t>
      </w:r>
    </w:p>
    <w:p>
      <w:r>
        <w:t>Le recourant sollicite la suspension de la procédure de recours dans l'attente de droit jugé dans la procédure d'opposition à l'ordonnance pénale prononcée à son encontre dans une autre procédure.</w:t>
      </w:r>
    </w:p>
    <w:p>
      <w:r>
        <w:rPr>
          <w:b/>
        </w:rPr>
        <w:t>E. 2.1</w:t>
      </w:r>
    </w:p>
    <w:p>
      <w:r>
        <w:t>L'art. 314 al. 1 let. b CPP prévoit la possibilité pour le ministère public de suspendre une instruction, notamment, lorsque l'issue de la procédure pénale dépend d'un autre procès dont il paraît indiqué d'attendre la fin.</w:t>
      </w:r>
    </w:p>
    <w:p>
      <w:r>
        <w:t>- 12/17 - P/23242/2018 Dans une cause où la Chambre de céans avait sursis à statuer dans l'attente de l'issue d'un recours pendant devant le Tribunal fédéral dans une autre procédure portant sur le même grief, notre Haute Cour a précisé que la suspension d'une procédure de recours n'était pas exclue mais comportait le risque de retarder inutilement la procédure de sorte qu'elle ne devait être admise qu'avec retenue – c'est-à-dire lorsqu'elle se fondait sur des motifs objectifs – eu égard à l'exigence de célérité posée par l'art. 29 al. 1 Cst. Pouvait notamment constituer un tel motif le fait d'attendre la décision d'une autre autorité qui permettrait de trancher une question décisive pour l'issue du litige dans un délai raisonnable. Le juge saisi disposait d'une certaine marge d'appréciation, dont il devait faire usage en procédant à une pesée des intérêts des parties. Dans les cas limites ou douteux, le principe de célérité primait (arrêt du Tribunal fédéral 1B_329/2017 du 11 septembre 2017 consid. 3).</w:t>
      </w:r>
    </w:p>
    <w:p>
      <w:r>
        <w:rPr>
          <w:b/>
        </w:rPr>
        <w:t>E. 2.2</w:t>
      </w:r>
    </w:p>
    <w:p>
      <w:r>
        <w:t>Le Ministère public a refusé, par courrier du 30 mars 2021, la suspension de la procédure et le recourant ne s'en est pas plaint. Il est donc forclos pour s'en prévaloir maintenant. Au surplus, l'ordonnance pénale condamnant le recourant pour les faits dénoncés par la police a fait l'objet d'une opposition auprès du Ministère public et la cause a été transmise au Tribunal pénal. De longs mois pourraient s'écouler avant qu'une décision ne soit en force et que la Chambre de céans puisse statuer. Quoi qu'il en soit, si le Tribunal pénal devait finalement acquitter le recourant, cela ne signifierait pas pour autant qu'il y aurait abus d'autorité de la part de la police ni que les lésions corporelles seraient le fait de cette dernière. Les infractions concernées par les deux procédures évoquées par le recourant résultent d'un contexte apparemment identique mais les faits à prendre en considération ne sont pas les mêmes pour répondre à leurs critères d'application, lesquels n'imposent pas que les unes soient jugées avant les autres ou qu'elles dépendent nécessairement l'une de l'autre. Dans ces conditions, ce grief doit être rejeté.</w:t>
      </w:r>
    </w:p>
    <w:p>
      <w:r>
        <w:rPr>
          <w:b/>
        </w:rPr>
        <w:t>E. 3</w:t>
      </w:r>
    </w:p>
    <w:p>
      <w:r>
        <w:t>Le recourant soutient que les conditions d'un classement n'étaient pas remplies, la probabilité d'une condamnation ne pouvant être écartée. 3.1.1. 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Ces conditions doivent être interprétées à la lumière de la maxime "in dubio pro duriore", qui s'impose tant à l'autorité de poursuite qu'à l'autorité de recours durant l'instruction. Cette maxime exige qu'en cas de doute quant aux faits pertinents ou au</w:t>
      </w:r>
    </w:p>
    <w:p>
      <w:r>
        <w:t>- 13/17 - P/23242/2018 droit applicable, le prévenu soit mis en accusation (ATF 138 IV 86 consid 4.1.1; arrêt du Tribunal fédéral 6B_874/2017 du 18 avril 2018 consid. 5.1). 3.1.2. Le Tribunal fédéral a rappelé qu'un classement n'est possible que lorsque l'impunité des actes du prévenu paraît claire ou lorsque les conditions à l'action pénale font manifestement défaut. Si un acquittement apparaît aussi probable qu’une condamnation, il s’impose, en principe, en particulier pour les infractions graves, de soutenir l’accusation. Font exception les cas où la partie plaignante tient des affirmations contradictoires ou peu crédibles. S'il appartient au juge du fond de procéder à des constatations de fait, le ministère public et l'instance de recours peuvent également être amenés à constater des faits, pour autant qu'ils paraissent clairs et établis au point qu'en cas de renvoi en jugement le juge du fond ne s'en écarterait pas. Cela vaut également en cas de classement. En vertu de la maxime "in dubio pro duriore", ce n'est que lorsque la situation probatoire n'est pas claire qu'il est interdit au ministère public d'anticiper l'administration des preuves que ferait le juge du fond (ATF 143 IV 241 consid. 2.2.1, 2.2.2 et 2.3 = JdT 2017 IV 357). 3.2.1. Se rend coupable de lésions corporelles simples celui qui, intentionnellement, aura fait subir à une personne une atteinte à l'intégrité corporelle ou à la santé (art. 123 ch. 1 CP). Sous l'effet d'un choc ou au moyen d'un objet, l'auteur dégrade le corps humain d'autrui, que la lésion soit interne ou externe ; il provoque une fracture, une foulure, une coupure ou toute autre altération constatable du corps humain (arrêt du Tribunal fédéral 6B_187/2015 du 28 avril 2015 consid. 2.1). Le comportement de l'auteur de l'infraction doit être la cause naturelle et adéquate des lésions corporelles simples subies par la victime (B. CORBOZ, Les infractions en droit suisse, vol. I, 3ème éd., Berne 2010, n. 16 ad art. 123 CP). L'infraction est intentionnelle, cette intention devant porter sur tous les éléments constitutifs de l'infraction, le dol éventuel étant toutefois suffisant (ATF 119 IV 1 consid. 5a; ATF 103 IV 65 consid. 1.2). 3.2.2. 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w:t>
      </w:r>
    </w:p>
    <w:p>
      <w:r>
        <w:t>- 14/17 - P/23242/2018 peut aussi être réalisée lorsque l'auteur poursuit un but légitime, mais recourt pour l'atteindre à des moyens disproportionnés (ATF 127 IV 209 consid. 1a/aa et b et les arrêts cités; arrêt du Tribunal fédéral 6B_1351/2017 du 18 avril 2018 consid. 4.2).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(arrêts du Tribunal fédéral 6B_987/2015 du 7 mars 2016 consid. 2.6 ; 6B_831/2011 du 14 février 2012 consid. 1.4.2 ; 6S.885/2000 du 26 février 2002 consid. 4a/bb ; ATF 99 IV 13). 3.2.3. 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 3.2.4. L'art. 200 CPP précise que la force ne peut être utilisée qu'en dernier recours pour exécuter les mesures de contrainte; l'intervention doit être conforme au principe de la proportionnalité.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En complément à l'art. 197 CPP al. 1, qui consacre la proportionnalité dans le choix de recourir à une mesure de contrainte dans un cas donné, ainsi que dans le choix de la mesure la plus appropriée, l'art. 200 CPP consacre le principe de la proportionnalité dans l’exécution de la mesure ainsi déterminée. À ce stade, la question n’est donc plus de savoir si une mesure de contrainte doit être ordonnée, ni quelle mesure doit être préférée à telle autre mesure, mais bien de savoir si, dans l’exécution concrète de la mesure, un éventuel recours à la force – et son étendue – est proportionnel aux circonstances particulières du cas d’espèce (A. KUHN / Y. JEANNERET (éds), Commentaire romand : Code de procédure pénale suisse, 2ème éd. Bâle 2019, nos. 2 et 3 ad art. 200).</w:t>
      </w:r>
    </w:p>
    <w:p>
      <w:r>
        <w:t>- 15/17 - P/23242/2018 3.2.5. Selon l'art. 45 de la loi sur la police du 9 septembre 2014 (F 1 05; LPol), la police exerce ses tâches dans le respect des droits fondamentaux et des principes de légalité, de proportionnalité et d’intérêt public (al. 1). En cas de troubles ou pour écarter des dangers menaçant directement la sécurité et l’ordre public, elle prend les mesures d’urgence indispensables (al. 2).</w:t>
      </w:r>
    </w:p>
    <w:p>
      <w:r>
        <w:rPr>
          <w:b/>
        </w:rPr>
        <w:t>E. 3.3</w:t>
      </w:r>
    </w:p>
    <w:p>
      <w:r>
        <w:t>En l'espèce, il n’est pas contesté que les blessures présentées par le recourant, établies par la documentation médicale produite, constituent des lésions corporelles simples. Il n'est toutefois pas établi que ces blessures seraient directement la conséquence du comportement des policiers, car le dossier ne permet pas de retenir une action causale de ceux-ci, personne ne les ayant vu projeter le recourant, comme il l’affirme sans aucun soutien au dossier, contre une vitrine. Aucun acte intentionnel ne ressort de l'instruction de l'IGS. Après ce heurt, et contrairement à ses affirmations, le recourant ne saignait guère et n’avait pas perdu connaissance, de sorte que cet événement n'était pas la cause de ses principales lésions. Ensuite, et ce fait est admis, il a volontairement donné des coups de tête dans la vitre d’un véhicule de service, avec suffisamment d’intensité pour la briser et c’est après cela, selon les témoignages recueillis, qu’il s’est mis à saigner abondamment. En conséquence, l’intervention des policiers s'est limitée à la neutralisation d'une personne qui s'opposait à leur travail et refusait sans raison de les suivre, alors qu’il était dans un état d’éthylisme prononcé et sous l’effet de stupéfiants et qu’il importunait des tiers, ce que les images qui lui ont été soumises l'ont conduit à admettre. En définitive, le recourant n'ayant pas obtempéré aux injonctions de la police et celle-ci ayant dû procéder fermement à son interpellation, pour des motifs avérés, elle n'a commis aucun abus d'autorité et les quelques lésions corporelles que le recourant aurait pu subir du fait de cette intervention, et non de son propre fait, ont été provoquées de manière non intentionnelle et dans le cadre de mesures licites et proportionnées. Les actes autorisés par la loi n'étant pas punissables (art. 14 CP), il n'existe pas de prévention pénale suffisante s'agissant des infractions de lésions corporelles ni d'abus d'autorité. Ces constats clairs, qui ne préjugent pas de ceux que l'autorité saisie de la P/1______/2018 aura à faire, n'entrainent pas une violation du droit à un procès équitable pour le recourant dans les deux procédures en cause, les faits à prendre en considération et les critères d'application des dispositions concernées différant. Partant, l'ordonnance querellée doit être confirmée.</w:t>
      </w:r>
    </w:p>
    <w:p>
      <w:r>
        <w:rPr>
          <w:b/>
        </w:rPr>
        <w:t>E. 4</w:t>
      </w:r>
    </w:p>
    <w:p>
      <w:r>
        <w:t>La procédure étant close (art. 135 al. 2 CPP), il convient de fixer l'indemnisation du conseil juridique gratuit pour son activité.</w:t>
      </w:r>
    </w:p>
    <w:p>
      <w:r>
        <w:rPr>
          <w:b/>
        </w:rPr>
        <w:t>E. 4.1</w:t>
      </w:r>
    </w:p>
    <w:p>
      <w:r>
        <w:t>À teneur de l'art. 135 al. 1 CPP, applicable par le renvoi de l'art. 138 CPP, le conseil juridique gratuit est indemnisé conformément au tarif des avocats de la</w:t>
      </w:r>
    </w:p>
    <w:p>
      <w:r>
        <w:t>- 16/17 - P/23242/2018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4.2</w:t>
      </w:r>
    </w:p>
    <w:p>
      <w:r>
        <w:t>En l'espèce, l'avocate du recourant a produit une note de frais relative à la procédure de recours faisant état de 10 heures d'activité, sans les détailler sinon pour préciser que huit heures ont été accomplies par un collaborateur et deux par un associé. L'activité déployée consiste, sur plusieurs pages, à la reprise quasi intégrale des témoignages recueillis à l'IGS et, sur nombre d'autres pages, à la reprise de conclusions ou de considérants juridiques connus. Compte tenu de l'ampleur de l'écriture de recours, qui comprend 9 pages consacrées à la discussion juridique, et de l'issue du recours, qui a été rejeté, l'indemnité sera fixée à CHF 1'723.20, correspondant à 8 heures d'activité au tarif horaire de CHF 200.-, TVA à 7.7% compris. Les frais de la procédure de recours resteront à la charge de l'État (art. 20 RAJ ; arrêt du Tribunal fédéral 6B_215/2018 du 14 juin 2018 consid. 1.2). * * * * *</w:t>
      </w:r>
    </w:p>
    <w:p>
      <w:r>
        <w:t>- 17/17 - P/23242/2018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