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ACPR/242/2020 vom 21. Februar 2020</w:t>
      </w:r>
    </w:p>
    <w:p>
      <w:r>
        <w:t>GE Cour de justice, 2020-02-21, FR</w:t>
      </w:r>
    </w:p>
    <w:p>
      <w:r>
        <w:rPr>
          <w:b/>
        </w:rPr>
        <w:t xml:space="preserve">Quelle: </w:t>
      </w:r>
      <w:r>
        <w:t>https://mcp.opencaselaw.ch/entscheid/ge_gerichte_ACPR_242_2020</w:t>
      </w:r>
    </w:p>
    <w:p>
      <w:r>
        <w:t>FR: GE_GERICHTE ACPR/242/2020 du 21 février 2020</w:t>
      </w:r>
    </w:p>
    <w:p>
      <w:r>
        <w:t>IT: GE_GERICHTE ACPR/242/2020 del 21 febbraio 2020</w:t>
      </w:r>
    </w:p>
    <w:p>
      <w:pPr>
        <w:pStyle w:val="Heading2"/>
      </w:pPr>
      <w:r>
        <w:t>Erwägungen</w:t>
      </w:r>
    </w:p>
    <w:p>
      <w:r>
        <w:rPr>
          <w:b/>
        </w:rPr>
        <w:t>E. 1</w:t>
      </w:r>
    </w:p>
    <w:p>
      <w:r>
        <w:t>Le recours est recevable pour avoir été déposé selon la forme et dans le délai prescrits – à compter de la date de notification alléguée par le recourant, compte tenu de la notification par pli simple de l’ordonnance entreprise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violation de son droit d’être entendu.</w:t>
      </w:r>
    </w:p>
    <w:p>
      <w:r>
        <w:t>- 5/8 - P/23572/2018</w:t>
      </w:r>
    </w:p>
    <w:p>
      <w:r>
        <w:rPr>
          <w:b/>
        </w:rPr>
        <w:t>E. 3.1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3.2</w:t>
      </w:r>
    </w:p>
    <w:p>
      <w:r>
        <w:t>En l’espèce, le Ministère public a bel et bien motivé sa décision; peu importe que le recourant ne l’approuve pas ou considère qu’elle viole l’art. 314 CPP. Preuve en est d’ailleurs qu'il a été en mesure de former recours et d'expliquer sa désapprobation à l'égard de la décision entreprise. Ce grief est dès lors infondé.</w:t>
      </w:r>
    </w:p>
    <w:p>
      <w:r>
        <w:rPr>
          <w:b/>
        </w:rPr>
        <w:t>E. 4</w:t>
      </w:r>
    </w:p>
    <w:p>
      <w:r>
        <w:t>Le recourant reproche au Ministère public de ne pas avoir suspendu l’instruction pénale, dans l’attente de l’issue de la procédure civile C/2______/2019.</w:t>
      </w:r>
    </w:p>
    <w:p>
      <w:r>
        <w:rPr>
          <w:b/>
        </w:rPr>
        <w:t>E. 4.1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En raison des buts différents de la procédure pénale et civile – la première recherche la vérité, avec une instruction d'office et des moyens de contrainte conséquents alors que la seconde va, en principe, examiner les allégués des parties – la suspension d'une procédure pénale dans l'attente d'une procédure civile doit demeurer particulièrement exceptionnelle (A. KUHN / Y. JEANNERET (éds), Commentaire romand : Code de procédure pénale suisse, Bâle 2019, n. 14b ad art. 314 CPP).</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t>- 6/8 - P/23572/2018</w:t>
      </w:r>
    </w:p>
    <w:p>
      <w:r>
        <w:t>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Faire notifier un commandement de payer lorsqu'on est fondé à réclamer une somme est licite. En revanche, utiliser un tel procédé comme moyen de pression est clairement abusif, donc illicite (cf. ATF 115 III 18 consid. 3, 81 consid. 3b; arrêt du Tribunal fédéral 6B_70/2016 précité consid. 4.3.4).</w:t>
      </w:r>
    </w:p>
    <w:p>
      <w:r>
        <w:rPr>
          <w:b/>
        </w:rPr>
        <w:t>E. 4.3</w:t>
      </w:r>
    </w:p>
    <w:p>
      <w:r>
        <w:t>En l’espèce, le recourant est soupçonné d’avoir utilisé un moyen légal, la notification de commandements de payer, comme moyen de pression abusif pour tenter d’entraver les opposants dans leur liberté d’action, ou, autrement dit, pour tenter de les amener à retirer leur opposition à l’autorisation de construire. L’issue de l’action initiée par le recourant devant les tribunaux civils pour obtenir la mainlevée définitive des oppositions formées par les voisins aux commandements de payer ne joue donc pas véritablement de rôle sur l'issue de la procédure pénale, puisque, même dans l’hypothèse où la mainlevée de l’opposition serait accordée, le Ministère public pourrait retenir la réalisation d’une tentative de contrainte par l’utilisation d’un moyen légal. C’est donc à bon droit que le Ministère public a refusé de suspendre, en l’état, l’instruction de la procédure pénale, sans disjoindre les faits constitutifs d'atteinte à l'honneur.</w:t>
      </w:r>
    </w:p>
    <w:p>
      <w:r>
        <w:rPr>
          <w:b/>
        </w:rPr>
        <w:t>E. 5</w:t>
      </w:r>
    </w:p>
    <w:p>
      <w:r>
        <w:t>Justifiée, l'ordonnance querellée sera donc confirmée.</w:t>
      </w:r>
    </w:p>
    <w:p>
      <w:r>
        <w:rPr>
          <w:b/>
        </w:rPr>
        <w:t>E. 6</w:t>
      </w:r>
    </w:p>
    <w:p>
      <w:r>
        <w:t>Le recourant, qui succombe, supportera les frais envers l'État, qui seront fixés en totalité à CHF 900.- (art. 428 al. 1 CPP et 13 al. 1 du Règlement fixant le tarif des frais en matière pénale, RTFMP ; E 4 10.03). * * * * *</w:t>
      </w:r>
    </w:p>
    <w:p>
      <w:r>
        <w:t>- 7/8 - P/23572/2018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